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8BF6A" w14:textId="77777777" w:rsidR="0086095F" w:rsidRPr="009D24CC" w:rsidRDefault="0086095F" w:rsidP="00647D3C">
      <w:pPr>
        <w:spacing w:after="120"/>
        <w:jc w:val="both"/>
        <w:rPr>
          <w:b/>
          <w:bCs/>
          <w:i/>
          <w:iCs/>
          <w:sz w:val="24"/>
        </w:rPr>
      </w:pPr>
      <w:bookmarkStart w:id="0" w:name="_Toc118605187"/>
      <w:r w:rsidRPr="009D24CC">
        <w:rPr>
          <w:b/>
          <w:bCs/>
          <w:i/>
          <w:iCs/>
          <w:sz w:val="24"/>
        </w:rPr>
        <w:t>3.</w:t>
      </w:r>
      <w:r>
        <w:rPr>
          <w:b/>
          <w:bCs/>
          <w:i/>
          <w:iCs/>
          <w:sz w:val="24"/>
        </w:rPr>
        <w:t>4</w:t>
      </w:r>
      <w:r w:rsidRPr="009D24CC">
        <w:rPr>
          <w:b/>
          <w:bCs/>
          <w:i/>
          <w:iCs/>
          <w:sz w:val="24"/>
        </w:rPr>
        <w:t>.3 Обоснование рабочих агентов для воздействия на пласт</w:t>
      </w:r>
      <w:bookmarkEnd w:id="0"/>
    </w:p>
    <w:p w14:paraId="73EE651F" w14:textId="0ED1D0A8" w:rsidR="003A28F7" w:rsidRDefault="003A28F7" w:rsidP="003A28F7">
      <w:pPr>
        <w:widowControl w:val="0"/>
        <w:autoSpaceDE w:val="0"/>
        <w:autoSpaceDN w:val="0"/>
        <w:adjustRightInd w:val="0"/>
        <w:spacing w:line="360" w:lineRule="auto"/>
        <w:ind w:firstLine="709"/>
        <w:jc w:val="both"/>
        <w:rPr>
          <w:rFonts w:eastAsia="Calibri"/>
          <w:sz w:val="24"/>
          <w:szCs w:val="24"/>
          <w:lang w:eastAsia="en-US"/>
        </w:rPr>
      </w:pPr>
      <w:r w:rsidRPr="003A28F7">
        <w:rPr>
          <w:rFonts w:eastAsia="Calibri"/>
          <w:sz w:val="24"/>
          <w:szCs w:val="24"/>
          <w:lang w:eastAsia="en-US"/>
        </w:rPr>
        <w:t xml:space="preserve">Закачка воды с целью поддержания пластового давления на месторождении </w:t>
      </w:r>
      <w:r w:rsidR="00647D3C">
        <w:rPr>
          <w:rFonts w:eastAsia="Calibri"/>
          <w:sz w:val="24"/>
          <w:szCs w:val="24"/>
          <w:lang w:val="kk-KZ" w:eastAsia="en-US"/>
        </w:rPr>
        <w:t xml:space="preserve">Уаз </w:t>
      </w:r>
      <w:r w:rsidRPr="003A28F7">
        <w:rPr>
          <w:rFonts w:eastAsia="Calibri"/>
          <w:sz w:val="24"/>
          <w:szCs w:val="24"/>
          <w:lang w:eastAsia="en-US"/>
        </w:rPr>
        <w:t xml:space="preserve">осуществляется с </w:t>
      </w:r>
      <w:r w:rsidR="00647D3C">
        <w:rPr>
          <w:rFonts w:eastAsia="Calibri"/>
          <w:sz w:val="24"/>
          <w:szCs w:val="24"/>
          <w:lang w:val="kk-KZ" w:eastAsia="en-US"/>
        </w:rPr>
        <w:t>2010</w:t>
      </w:r>
      <w:r w:rsidRPr="003A28F7">
        <w:rPr>
          <w:rFonts w:eastAsia="Calibri"/>
          <w:sz w:val="24"/>
          <w:szCs w:val="24"/>
          <w:lang w:eastAsia="en-US"/>
        </w:rPr>
        <w:t xml:space="preserve">г. Источником воды для системы ППД является попутно-добываемая пластовая вода. Требования к качеству воды, используемой для </w:t>
      </w:r>
      <w:proofErr w:type="spellStart"/>
      <w:r w:rsidRPr="003A28F7">
        <w:rPr>
          <w:rFonts w:eastAsia="Calibri"/>
          <w:sz w:val="24"/>
          <w:szCs w:val="24"/>
          <w:lang w:eastAsia="en-US"/>
        </w:rPr>
        <w:t>заводнения</w:t>
      </w:r>
      <w:proofErr w:type="spellEnd"/>
      <w:r w:rsidRPr="003A28F7">
        <w:rPr>
          <w:rFonts w:eastAsia="Calibri"/>
          <w:sz w:val="24"/>
          <w:szCs w:val="24"/>
          <w:lang w:eastAsia="en-US"/>
        </w:rPr>
        <w:t xml:space="preserve"> приведены в разделе 6.</w:t>
      </w:r>
      <w:r w:rsidR="00C969B7" w:rsidRPr="00C969B7">
        <w:rPr>
          <w:rFonts w:eastAsia="Calibri"/>
          <w:sz w:val="24"/>
          <w:szCs w:val="24"/>
          <w:lang w:eastAsia="en-US"/>
        </w:rPr>
        <w:t>5-6.</w:t>
      </w:r>
      <w:r w:rsidR="00C969B7" w:rsidRPr="00F0504A">
        <w:rPr>
          <w:rFonts w:eastAsia="Calibri"/>
          <w:sz w:val="24"/>
          <w:szCs w:val="24"/>
          <w:lang w:eastAsia="en-US"/>
        </w:rPr>
        <w:t>6</w:t>
      </w:r>
      <w:r w:rsidRPr="003A28F7">
        <w:rPr>
          <w:rFonts w:eastAsia="Calibri"/>
          <w:sz w:val="24"/>
          <w:szCs w:val="24"/>
          <w:lang w:eastAsia="en-US"/>
        </w:rPr>
        <w:t xml:space="preserve">. </w:t>
      </w:r>
    </w:p>
    <w:p w14:paraId="23A67F6B" w14:textId="1800DB6B" w:rsidR="00891237" w:rsidRPr="003A28F7" w:rsidRDefault="00891237" w:rsidP="00647D3C">
      <w:pPr>
        <w:widowControl w:val="0"/>
        <w:autoSpaceDE w:val="0"/>
        <w:autoSpaceDN w:val="0"/>
        <w:adjustRightInd w:val="0"/>
        <w:spacing w:line="360" w:lineRule="auto"/>
        <w:jc w:val="both"/>
        <w:rPr>
          <w:rFonts w:eastAsia="Calibri"/>
          <w:sz w:val="24"/>
          <w:szCs w:val="24"/>
          <w:lang w:eastAsia="en-US"/>
        </w:rPr>
      </w:pPr>
      <w:r w:rsidRPr="003A28F7">
        <w:rPr>
          <w:b/>
          <w:bCs/>
          <w:i/>
          <w:iCs/>
          <w:sz w:val="24"/>
        </w:rPr>
        <w:t>3.</w:t>
      </w:r>
      <w:r w:rsidR="00E26E28" w:rsidRPr="003A28F7">
        <w:rPr>
          <w:b/>
          <w:bCs/>
          <w:i/>
          <w:iCs/>
          <w:sz w:val="24"/>
        </w:rPr>
        <w:t>4</w:t>
      </w:r>
      <w:r w:rsidRPr="003A28F7">
        <w:rPr>
          <w:b/>
          <w:bCs/>
          <w:i/>
          <w:iCs/>
          <w:sz w:val="24"/>
        </w:rPr>
        <w:t>.4 Обоснование принятой методики прогноза технологических показателей разработки</w:t>
      </w:r>
    </w:p>
    <w:p w14:paraId="47A765B2" w14:textId="77777777" w:rsidR="004F52A9" w:rsidRDefault="004F52A9" w:rsidP="003A28F7">
      <w:pPr>
        <w:widowControl w:val="0"/>
        <w:autoSpaceDE w:val="0"/>
        <w:autoSpaceDN w:val="0"/>
        <w:adjustRightInd w:val="0"/>
        <w:spacing w:line="360" w:lineRule="auto"/>
        <w:ind w:firstLine="709"/>
        <w:jc w:val="both"/>
        <w:rPr>
          <w:rFonts w:eastAsia="Calibri"/>
          <w:sz w:val="24"/>
          <w:szCs w:val="24"/>
          <w:lang w:eastAsia="en-US"/>
        </w:rPr>
      </w:pPr>
      <w:bookmarkStart w:id="1" w:name="_Toc118605189"/>
      <w:r w:rsidRPr="004F52A9">
        <w:rPr>
          <w:rFonts w:eastAsia="Calibri"/>
          <w:sz w:val="24"/>
          <w:szCs w:val="24"/>
          <w:lang w:eastAsia="en-US"/>
        </w:rPr>
        <w:t>Выбор методики расчета технологических показателей месторождения исходил из особенностей геологического строения и степени изученности всех параметров продуктивных залежей.</w:t>
      </w:r>
    </w:p>
    <w:p w14:paraId="5F94F9AE" w14:textId="3A0CB062" w:rsidR="004F52A9" w:rsidRPr="00611559" w:rsidRDefault="00611559" w:rsidP="004F52A9">
      <w:pPr>
        <w:widowControl w:val="0"/>
        <w:spacing w:line="360" w:lineRule="auto"/>
        <w:ind w:firstLine="709"/>
        <w:jc w:val="both"/>
        <w:rPr>
          <w:bCs/>
          <w:sz w:val="24"/>
          <w:szCs w:val="24"/>
          <w:lang w:eastAsia="en-US"/>
        </w:rPr>
      </w:pPr>
      <w:r w:rsidRPr="00611559">
        <w:rPr>
          <w:bCs/>
          <w:sz w:val="24"/>
          <w:szCs w:val="24"/>
          <w:lang w:eastAsia="en-US"/>
        </w:rPr>
        <w:t xml:space="preserve">При составлении настоящего </w:t>
      </w:r>
      <w:r w:rsidR="004F52A9">
        <w:rPr>
          <w:bCs/>
          <w:sz w:val="24"/>
          <w:szCs w:val="24"/>
          <w:lang w:eastAsia="en-US"/>
        </w:rPr>
        <w:t>проекта</w:t>
      </w:r>
      <w:r w:rsidRPr="00611559">
        <w:rPr>
          <w:bCs/>
          <w:sz w:val="24"/>
          <w:szCs w:val="24"/>
          <w:lang w:eastAsia="en-US"/>
        </w:rPr>
        <w:t xml:space="preserve"> использована </w:t>
      </w:r>
      <w:r w:rsidR="004F52A9" w:rsidRPr="004F52A9">
        <w:rPr>
          <w:bCs/>
          <w:sz w:val="24"/>
          <w:szCs w:val="24"/>
          <w:lang w:eastAsia="en-US"/>
        </w:rPr>
        <w:t>цифров</w:t>
      </w:r>
      <w:r w:rsidR="004F52A9">
        <w:rPr>
          <w:bCs/>
          <w:sz w:val="24"/>
          <w:szCs w:val="24"/>
          <w:lang w:eastAsia="en-US"/>
        </w:rPr>
        <w:t>ая</w:t>
      </w:r>
      <w:r w:rsidR="004F52A9" w:rsidRPr="004F52A9">
        <w:rPr>
          <w:bCs/>
          <w:sz w:val="24"/>
          <w:szCs w:val="24"/>
          <w:lang w:eastAsia="en-US"/>
        </w:rPr>
        <w:t xml:space="preserve"> фильтрационн</w:t>
      </w:r>
      <w:r w:rsidR="004F52A9">
        <w:rPr>
          <w:bCs/>
          <w:sz w:val="24"/>
          <w:szCs w:val="24"/>
          <w:lang w:eastAsia="en-US"/>
        </w:rPr>
        <w:t>ая</w:t>
      </w:r>
      <w:r w:rsidR="004F52A9" w:rsidRPr="004F52A9">
        <w:rPr>
          <w:bCs/>
          <w:sz w:val="24"/>
          <w:szCs w:val="24"/>
          <w:lang w:eastAsia="en-US"/>
        </w:rPr>
        <w:t xml:space="preserve"> модел</w:t>
      </w:r>
      <w:r w:rsidR="004F52A9">
        <w:rPr>
          <w:bCs/>
          <w:sz w:val="24"/>
          <w:szCs w:val="24"/>
          <w:lang w:eastAsia="en-US"/>
        </w:rPr>
        <w:t>ь и</w:t>
      </w:r>
      <w:r w:rsidR="004F52A9" w:rsidRPr="004F52A9">
        <w:rPr>
          <w:bCs/>
          <w:sz w:val="24"/>
          <w:szCs w:val="24"/>
          <w:lang w:eastAsia="en-US"/>
        </w:rPr>
        <w:t xml:space="preserve"> </w:t>
      </w:r>
      <w:r w:rsidRPr="00611559">
        <w:rPr>
          <w:bCs/>
          <w:sz w:val="24"/>
          <w:szCs w:val="24"/>
          <w:lang w:eastAsia="en-US"/>
        </w:rPr>
        <w:t xml:space="preserve">слоисто-вероятностная модель, учитывающая зональную и послойную неоднородность пластов по коллекторским свойствам. </w:t>
      </w:r>
      <w:r w:rsidR="007B640A" w:rsidRPr="004F52A9">
        <w:rPr>
          <w:bCs/>
          <w:sz w:val="24"/>
          <w:szCs w:val="24"/>
          <w:lang w:eastAsia="en-US"/>
        </w:rPr>
        <w:t xml:space="preserve">Методика расчета технологических показателей по цифровым фильтрационным моделям произведена для основных эксплуатационных объектов. Для возвратных объектов расчеты произведены методикой института </w:t>
      </w:r>
      <w:proofErr w:type="spellStart"/>
      <w:r w:rsidR="007B640A" w:rsidRPr="004F52A9">
        <w:rPr>
          <w:bCs/>
          <w:sz w:val="24"/>
          <w:szCs w:val="24"/>
          <w:lang w:eastAsia="en-US"/>
        </w:rPr>
        <w:t>ТатНИПИнефть</w:t>
      </w:r>
      <w:proofErr w:type="spellEnd"/>
      <w:r w:rsidR="007B640A" w:rsidRPr="004F52A9">
        <w:rPr>
          <w:bCs/>
          <w:sz w:val="24"/>
          <w:szCs w:val="24"/>
          <w:lang w:eastAsia="en-US"/>
        </w:rPr>
        <w:t>.</w:t>
      </w:r>
      <w:r w:rsidR="007B640A" w:rsidRPr="0086095F">
        <w:rPr>
          <w:bCs/>
          <w:sz w:val="24"/>
          <w:szCs w:val="24"/>
          <w:lang w:eastAsia="en-US"/>
        </w:rPr>
        <w:t xml:space="preserve"> </w:t>
      </w:r>
      <w:r w:rsidR="004F52A9" w:rsidRPr="00611559">
        <w:rPr>
          <w:bCs/>
          <w:sz w:val="24"/>
          <w:szCs w:val="24"/>
          <w:lang w:eastAsia="en-US"/>
        </w:rPr>
        <w:t>Все расчётные параметры определялись исходя из материалов опробования, результатов эксплуатации скважин с максимальным использованием имеющейся информации о геолого-гидродинамической характеристике продуктивных пластов.</w:t>
      </w:r>
    </w:p>
    <w:p w14:paraId="201B455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Управление разработкой нефтяной залежи представлено следующей системой формул, которые зависят от расчетных начальных извлекаемых запасов нефти и жидкости, а также от модифицированного амплитудного дебита, введенного на середину t-го года.</w:t>
      </w:r>
    </w:p>
    <w:p w14:paraId="513FD041" w14:textId="77777777" w:rsidR="00611559" w:rsidRPr="00611559" w:rsidRDefault="00611559" w:rsidP="00611559">
      <w:pPr>
        <w:widowControl w:val="0"/>
        <w:spacing w:line="360" w:lineRule="auto"/>
        <w:ind w:firstLine="709"/>
        <w:jc w:val="both"/>
        <w:rPr>
          <w:rFonts w:eastAsia="Calibri"/>
          <w:i/>
          <w:sz w:val="24"/>
          <w:szCs w:val="24"/>
          <w:u w:val="single"/>
          <w:lang w:eastAsia="en-US"/>
        </w:rPr>
      </w:pPr>
      <w:r w:rsidRPr="00611559">
        <w:rPr>
          <w:rFonts w:eastAsia="Calibri"/>
          <w:sz w:val="24"/>
          <w:szCs w:val="24"/>
          <w:lang w:eastAsia="en-US"/>
        </w:rPr>
        <w:t>Расчет технологических показателей в методике осуществляется по следующим формулам:</w:t>
      </w:r>
    </w:p>
    <w:p w14:paraId="1825298E" w14:textId="77777777" w:rsidR="00611559" w:rsidRPr="00611559" w:rsidRDefault="00611559" w:rsidP="00611559">
      <w:pPr>
        <w:widowControl w:val="0"/>
        <w:spacing w:line="360" w:lineRule="auto"/>
        <w:ind w:firstLine="709"/>
        <w:jc w:val="both"/>
        <w:rPr>
          <w:rFonts w:eastAsia="Calibri"/>
          <w:i/>
          <w:sz w:val="24"/>
          <w:szCs w:val="24"/>
          <w:u w:val="single"/>
          <w:lang w:eastAsia="en-US"/>
        </w:rPr>
      </w:pPr>
      <w:r w:rsidRPr="00611559">
        <w:rPr>
          <w:rFonts w:eastAsia="Calibri"/>
          <w:i/>
          <w:sz w:val="24"/>
          <w:szCs w:val="24"/>
          <w:u w:val="single"/>
          <w:lang w:eastAsia="en-US"/>
        </w:rPr>
        <w:t>Добыча нефти при изменяющихся нефиксированных условиях разработки:</w:t>
      </w:r>
    </w:p>
    <w:p w14:paraId="64B7DB30"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p>
            <m:sSupPr>
              <m:ctrlPr>
                <w:rPr>
                  <w:rFonts w:ascii="Cambria Math" w:eastAsia="Calibri" w:hAnsi="Cambria Math"/>
                  <w:i/>
                  <w:sz w:val="22"/>
                  <w:szCs w:val="22"/>
                  <w:lang w:val="en-US" w:eastAsia="en-US"/>
                </w:rPr>
              </m:ctrlPr>
            </m:sSupPr>
            <m:e>
              <m:r>
                <w:rPr>
                  <w:rFonts w:ascii="Cambria Math" w:eastAsia="Calibri" w:hAnsi="Cambria Math"/>
                  <w:sz w:val="22"/>
                  <w:szCs w:val="22"/>
                  <w:lang w:eastAsia="en-US"/>
                </w:rPr>
                <m:t>q</m:t>
              </m:r>
            </m:e>
            <m:sup>
              <m:r>
                <w:rPr>
                  <w:rFonts w:ascii="Cambria Math" w:eastAsia="Calibri" w:hAnsi="Cambria Math"/>
                  <w:sz w:val="22"/>
                  <w:szCs w:val="22"/>
                  <w:lang w:eastAsia="en-US"/>
                </w:rPr>
                <m:t>t</m:t>
              </m:r>
            </m:sup>
          </m:sSup>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0</m:t>
                  </m:r>
                </m:sub>
                <m:sup>
                  <m:r>
                    <w:rPr>
                      <w:rFonts w:ascii="Cambria Math" w:eastAsia="Calibri" w:hAnsi="Cambria Math"/>
                      <w:sz w:val="22"/>
                      <w:szCs w:val="22"/>
                      <w:lang w:eastAsia="en-US"/>
                    </w:rPr>
                    <m:t>t</m:t>
                  </m:r>
                </m:sup>
              </m:sSubSup>
            </m:num>
            <m:den>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и</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2</m:t>
                  </m:r>
                </m:den>
              </m:f>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0</m:t>
                  </m:r>
                </m:sub>
                <m:sup>
                  <m:r>
                    <w:rPr>
                      <w:rFonts w:ascii="Cambria Math" w:eastAsia="Calibri" w:hAnsi="Cambria Math"/>
                      <w:sz w:val="22"/>
                      <w:szCs w:val="22"/>
                      <w:lang w:eastAsia="en-US"/>
                    </w:rPr>
                    <m:t>t</m:t>
                  </m:r>
                </m:sup>
              </m:sSubSup>
            </m:den>
          </m:f>
          <m:d>
            <m:dPr>
              <m:begChr m:val="["/>
              <m:endChr m:val="]"/>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и</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nary>
                <m:naryPr>
                  <m:chr m:val="∑"/>
                  <m:limLoc m:val="undOvr"/>
                  <m:ctrlPr>
                    <w:rPr>
                      <w:rFonts w:ascii="Cambria Math" w:eastAsia="Calibri" w:hAnsi="Cambria Math"/>
                      <w:i/>
                      <w:sz w:val="22"/>
                      <w:szCs w:val="22"/>
                      <w:lang w:eastAsia="en-US"/>
                    </w:rPr>
                  </m:ctrlPr>
                </m:naryPr>
                <m:sub>
                  <m:r>
                    <w:rPr>
                      <w:rFonts w:ascii="Cambria Math" w:eastAsia="Calibri" w:hAnsi="Cambria Math"/>
                      <w:sz w:val="22"/>
                      <w:szCs w:val="22"/>
                      <w:lang w:eastAsia="en-US"/>
                    </w:rPr>
                    <m:t>i-1</m:t>
                  </m:r>
                </m:sub>
                <m:sup>
                  <m:r>
                    <w:rPr>
                      <w:rFonts w:ascii="Cambria Math" w:eastAsia="Calibri" w:hAnsi="Cambria Math"/>
                      <w:sz w:val="22"/>
                      <w:szCs w:val="22"/>
                      <w:lang w:eastAsia="en-US"/>
                    </w:rPr>
                    <m:t>t-1</m:t>
                  </m:r>
                </m:sup>
                <m:e>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q</m:t>
                      </m:r>
                    </m:e>
                    <m:sup>
                      <m:r>
                        <w:rPr>
                          <w:rFonts w:ascii="Cambria Math" w:eastAsia="Calibri" w:hAnsi="Cambria Math"/>
                          <w:sz w:val="22"/>
                          <w:szCs w:val="22"/>
                          <w:lang w:eastAsia="en-US"/>
                        </w:rPr>
                        <m:t>i</m:t>
                      </m:r>
                    </m:sup>
                  </m:sSup>
                </m:e>
              </m:nary>
            </m:e>
          </m:d>
        </m:oMath>
      </m:oMathPara>
    </w:p>
    <w:p w14:paraId="7C60BFE3"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26AE668C"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noProof/>
          <w:sz w:val="24"/>
          <w:szCs w:val="24"/>
          <w:lang w:val="en-US" w:eastAsia="en-US"/>
        </w:rPr>
        <w:drawing>
          <wp:inline distT="0" distB="0" distL="0" distR="0" wp14:anchorId="44E633FD" wp14:editId="4E654E0C">
            <wp:extent cx="180975" cy="238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611559">
        <w:rPr>
          <w:rFonts w:eastAsia="Calibri"/>
          <w:sz w:val="24"/>
          <w:szCs w:val="24"/>
          <w:lang w:eastAsia="en-US"/>
        </w:rPr>
        <w:t xml:space="preserve"> - текущий амплитудный дебит на середину t-го года, тыс.т/год;</w:t>
      </w:r>
    </w:p>
    <w:p w14:paraId="0BA0BEBD"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noProof/>
          <w:sz w:val="24"/>
          <w:szCs w:val="24"/>
          <w:lang w:val="en-US" w:eastAsia="en-US"/>
        </w:rPr>
        <w:drawing>
          <wp:inline distT="0" distB="0" distL="0" distR="0" wp14:anchorId="1F6FF3BC" wp14:editId="24E630D1">
            <wp:extent cx="2381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611559">
        <w:rPr>
          <w:rFonts w:eastAsia="Calibri"/>
          <w:sz w:val="24"/>
          <w:szCs w:val="24"/>
          <w:lang w:eastAsia="en-US"/>
        </w:rPr>
        <w:t xml:space="preserve"> - введенные в разработку к середине t-го года начальные извлекаемые запасы нефти, тыс.т;</w:t>
      </w:r>
    </w:p>
    <w:p w14:paraId="30C1FCC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noProof/>
          <w:sz w:val="24"/>
          <w:szCs w:val="24"/>
          <w:lang w:val="en-US" w:eastAsia="en-US"/>
        </w:rPr>
        <w:drawing>
          <wp:inline distT="0" distB="0" distL="0" distR="0" wp14:anchorId="2DEB7A46" wp14:editId="3DBE99AF">
            <wp:extent cx="371475" cy="4286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475" cy="428625"/>
                    </a:xfrm>
                    <a:prstGeom prst="rect">
                      <a:avLst/>
                    </a:prstGeom>
                    <a:noFill/>
                    <a:ln>
                      <a:noFill/>
                    </a:ln>
                  </pic:spPr>
                </pic:pic>
              </a:graphicData>
            </a:graphic>
          </wp:inline>
        </w:drawing>
      </w:r>
      <w:r w:rsidRPr="00611559">
        <w:rPr>
          <w:rFonts w:eastAsia="Calibri"/>
          <w:sz w:val="24"/>
          <w:szCs w:val="24"/>
          <w:lang w:eastAsia="en-US"/>
        </w:rPr>
        <w:t xml:space="preserve"> - суммарный отбор нефти за все предыдущие годы;</w:t>
      </w:r>
    </w:p>
    <w:p w14:paraId="1D0B26E7" w14:textId="77777777" w:rsidR="00611559" w:rsidRPr="00611559" w:rsidRDefault="00611559" w:rsidP="00611559">
      <w:pPr>
        <w:widowControl w:val="0"/>
        <w:spacing w:line="360" w:lineRule="auto"/>
        <w:ind w:firstLine="709"/>
        <w:jc w:val="both"/>
        <w:rPr>
          <w:rFonts w:eastAsia="Calibri"/>
          <w:i/>
          <w:sz w:val="24"/>
          <w:szCs w:val="24"/>
          <w:lang w:eastAsia="en-US"/>
        </w:rPr>
      </w:pPr>
      <w:r w:rsidRPr="00611559">
        <w:rPr>
          <w:rFonts w:eastAsia="Calibri"/>
          <w:i/>
          <w:sz w:val="24"/>
          <w:szCs w:val="24"/>
          <w:lang w:eastAsia="en-US"/>
        </w:rPr>
        <w:t>Для расчета амплитудного дебита используется формула:</w:t>
      </w:r>
    </w:p>
    <w:p w14:paraId="4FE01FC5"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q</m:t>
              </m:r>
            </m:e>
            <m:sub>
              <m:r>
                <w:rPr>
                  <w:rFonts w:ascii="Cambria Math" w:eastAsia="Calibri" w:hAnsi="Calibri"/>
                  <w:sz w:val="22"/>
                  <w:szCs w:val="22"/>
                  <w:lang w:eastAsia="en-US"/>
                </w:rPr>
                <m:t>0</m:t>
              </m:r>
            </m:sub>
          </m:sSub>
          <m:r>
            <w:rPr>
              <w:rFonts w:ascii="Cambria Math" w:eastAsia="Calibri" w:hAnsi="Calibri"/>
              <w:sz w:val="22"/>
              <w:szCs w:val="22"/>
              <w:lang w:eastAsia="en-US"/>
            </w:rPr>
            <m:t>=</m:t>
          </m:r>
          <m:r>
            <w:rPr>
              <w:rFonts w:ascii="Cambria Math" w:eastAsia="Calibri" w:hAnsi="Cambria Math"/>
              <w:sz w:val="22"/>
              <w:szCs w:val="22"/>
              <w:lang w:eastAsia="en-US"/>
            </w:rPr>
            <m:t>τ</m:t>
          </m:r>
          <m:r>
            <w:rPr>
              <w:rFonts w:ascii="Cambria Math" w:eastAsia="Calibri" w:hAnsi="Calibri"/>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η</m:t>
              </m:r>
            </m:e>
            <m:sub>
              <m:r>
                <w:rPr>
                  <w:rFonts w:ascii="Cambria Math" w:eastAsia="Calibri" w:hAnsi="Calibri"/>
                  <w:sz w:val="22"/>
                  <w:szCs w:val="22"/>
                  <w:lang w:eastAsia="en-US"/>
                </w:rPr>
                <m:t>ср</m:t>
              </m:r>
            </m:sub>
          </m:sSub>
          <m:r>
            <w:rPr>
              <w:rFonts w:ascii="Cambria Math" w:eastAsia="Calibri" w:hAnsi="Cambria Math"/>
              <w:sz w:val="22"/>
              <w:szCs w:val="22"/>
              <w:lang w:eastAsia="en-US"/>
            </w:rPr>
            <m:t>∙n</m:t>
          </m:r>
          <m:r>
            <w:rPr>
              <w:rFonts w:ascii="Cambria Math" w:eastAsia="Calibri" w:hAnsi="Calibri"/>
              <w:sz w:val="22"/>
              <w:szCs w:val="22"/>
              <w:lang w:eastAsia="en-US"/>
            </w:rPr>
            <m:t>∙</m:t>
          </m:r>
          <m:r>
            <w:rPr>
              <w:rFonts w:ascii="Cambria Math" w:eastAsia="Calibri" w:hAnsi="Calibri"/>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P</m:t>
              </m:r>
            </m:e>
            <m:sub>
              <m:r>
                <w:rPr>
                  <w:rFonts w:ascii="Cambria Math" w:eastAsia="Calibri" w:hAnsi="Calibri"/>
                  <w:sz w:val="22"/>
                  <w:szCs w:val="22"/>
                  <w:lang w:eastAsia="en-US"/>
                </w:rPr>
                <m:t>сн</m:t>
              </m:r>
            </m:sub>
          </m:sSub>
          <m:r>
            <w:rPr>
              <w:rFonts w:ascii="Cambria Math" w:eastAsia="Calibri" w:hAnsi="Calibri"/>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P</m:t>
              </m:r>
            </m:e>
            <m:sub>
              <m:r>
                <w:rPr>
                  <w:rFonts w:ascii="Cambria Math" w:eastAsia="Calibri" w:hAnsi="Calibri"/>
                  <w:sz w:val="22"/>
                  <w:szCs w:val="22"/>
                  <w:lang w:eastAsia="en-US"/>
                </w:rPr>
                <m:t>сэ</m:t>
              </m:r>
            </m:sub>
          </m:sSub>
          <m:r>
            <w:rPr>
              <w:rFonts w:ascii="Cambria Math" w:eastAsia="Calibri" w:hAnsi="Calibri"/>
              <w:sz w:val="22"/>
              <w:szCs w:val="22"/>
              <w:lang w:eastAsia="en-US"/>
            </w:rPr>
            <m:t>)</m:t>
          </m:r>
          <m:r>
            <w:rPr>
              <w:rFonts w:ascii="Cambria Math" w:eastAsia="Calibri" w:hAnsi="Calibri"/>
              <w:sz w:val="22"/>
              <w:szCs w:val="22"/>
              <w:lang w:eastAsia="en-US"/>
            </w:rPr>
            <m:t>∙</m:t>
          </m:r>
          <m:r>
            <w:rPr>
              <w:rFonts w:ascii="Cambria Math" w:eastAsia="Calibri" w:hAnsi="Cambria Math"/>
              <w:sz w:val="22"/>
              <w:szCs w:val="22"/>
              <w:lang w:eastAsia="en-US"/>
            </w:rPr>
            <m:t>φ</m:t>
          </m:r>
          <m:r>
            <w:rPr>
              <w:rFonts w:ascii="Cambria Math" w:eastAsia="Calibri" w:hAnsi="Calibri"/>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ξ</m:t>
              </m:r>
            </m:e>
            <m:sub>
              <m:r>
                <w:rPr>
                  <w:rFonts w:ascii="Cambria Math" w:eastAsia="Calibri" w:hAnsi="Calibri"/>
                  <w:sz w:val="22"/>
                  <w:szCs w:val="22"/>
                  <w:lang w:eastAsia="en-US"/>
                </w:rPr>
                <m:t>1</m:t>
              </m:r>
            </m:sub>
          </m:sSub>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∙ξ</m:t>
              </m:r>
            </m:e>
            <m:sub>
              <m:r>
                <w:rPr>
                  <w:rFonts w:ascii="Cambria Math" w:eastAsia="Calibri" w:hAnsi="Calibri"/>
                  <w:sz w:val="22"/>
                  <w:szCs w:val="22"/>
                  <w:lang w:eastAsia="en-US"/>
                </w:rPr>
                <m:t>2</m:t>
              </m:r>
            </m:sub>
          </m:sSub>
        </m:oMath>
      </m:oMathPara>
    </w:p>
    <w:p w14:paraId="642F96B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 xml:space="preserve">где </w:t>
      </w:r>
    </w:p>
    <w:p w14:paraId="10B5D5A2"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τ</m:t>
        </m:r>
      </m:oMath>
      <w:r w:rsidRPr="00611559">
        <w:rPr>
          <w:rFonts w:eastAsia="Calibri"/>
          <w:sz w:val="24"/>
          <w:szCs w:val="24"/>
          <w:lang w:eastAsia="en-US"/>
        </w:rPr>
        <w:t xml:space="preserve"> - время работы скважин, сут.;</w:t>
      </w:r>
    </w:p>
    <w:p w14:paraId="2AD15197"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η</m:t>
            </m:r>
          </m:e>
          <m:sub>
            <m:r>
              <w:rPr>
                <w:rFonts w:ascii="Cambria Math" w:eastAsia="Calibri" w:hAnsi="Calibri"/>
                <w:sz w:val="22"/>
                <w:szCs w:val="22"/>
                <w:lang w:eastAsia="en-US"/>
              </w:rPr>
              <m:t>ср</m:t>
            </m:r>
          </m:sub>
        </m:sSub>
      </m:oMath>
      <w:r w:rsidR="00611559" w:rsidRPr="00611559">
        <w:rPr>
          <w:rFonts w:eastAsia="Calibri"/>
          <w:sz w:val="24"/>
          <w:szCs w:val="24"/>
          <w:lang w:eastAsia="en-US"/>
        </w:rPr>
        <w:t xml:space="preserve"> – средняя продуктивность скважин (добывающих и нагнетательных), т/(сут×МПа);</w:t>
      </w:r>
    </w:p>
    <w:p w14:paraId="3B33C800"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n</m:t>
        </m:r>
      </m:oMath>
      <w:r w:rsidRPr="00611559">
        <w:rPr>
          <w:rFonts w:eastAsia="Calibri"/>
          <w:sz w:val="24"/>
          <w:szCs w:val="24"/>
          <w:lang w:eastAsia="en-US"/>
        </w:rPr>
        <w:t xml:space="preserve"> – общее число скважин (добывающих и нагнетательных), ед.;</w:t>
      </w:r>
    </w:p>
    <w:p w14:paraId="4C8C800A"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P</m:t>
            </m:r>
          </m:e>
          <m:sub>
            <m:r>
              <w:rPr>
                <w:rFonts w:ascii="Cambria Math" w:eastAsia="Calibri" w:hAnsi="Calibri"/>
                <w:sz w:val="22"/>
                <w:szCs w:val="22"/>
                <w:lang w:eastAsia="en-US"/>
              </w:rPr>
              <m:t>сн</m:t>
            </m:r>
          </m:sub>
        </m:sSub>
      </m:oMath>
      <w:r w:rsidR="00611559" w:rsidRPr="00611559">
        <w:rPr>
          <w:rFonts w:eastAsia="Calibri"/>
          <w:sz w:val="24"/>
          <w:szCs w:val="24"/>
          <w:lang w:eastAsia="en-US"/>
        </w:rPr>
        <w:t xml:space="preserve"> - забойное давление на нагнетательных скважинах, МПа;</w:t>
      </w:r>
    </w:p>
    <w:p w14:paraId="4518E9E2"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P</m:t>
            </m:r>
          </m:e>
          <m:sub>
            <m:r>
              <w:rPr>
                <w:rFonts w:ascii="Cambria Math" w:eastAsia="Calibri" w:hAnsi="Calibri"/>
                <w:sz w:val="22"/>
                <w:szCs w:val="22"/>
                <w:lang w:eastAsia="en-US"/>
              </w:rPr>
              <m:t>сэ</m:t>
            </m:r>
          </m:sub>
        </m:sSub>
      </m:oMath>
      <w:r w:rsidR="00611559" w:rsidRPr="00611559">
        <w:rPr>
          <w:rFonts w:eastAsia="Calibri"/>
          <w:sz w:val="24"/>
          <w:szCs w:val="24"/>
          <w:lang w:eastAsia="en-US"/>
        </w:rPr>
        <w:t xml:space="preserve"> - забойное давление на добывающих скважинах, МПа;</w:t>
      </w:r>
    </w:p>
    <w:p w14:paraId="67D14C4E"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φ</m:t>
        </m:r>
      </m:oMath>
      <w:r w:rsidRPr="00611559">
        <w:rPr>
          <w:rFonts w:eastAsia="Calibri"/>
          <w:sz w:val="24"/>
          <w:szCs w:val="24"/>
          <w:lang w:eastAsia="en-US"/>
        </w:rPr>
        <w:t xml:space="preserve"> - функция относительной производительности скважин, учитывающая различие скважин по продуктивности, взаимное размещение и соотношение добывающих и нагнетательных скважин, соотношение подвижностей вытесняющего агента и нефти;</w:t>
      </w:r>
    </w:p>
    <w:p w14:paraId="636937EE"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ξ</m:t>
            </m:r>
          </m:e>
          <m:sub>
            <m:r>
              <w:rPr>
                <w:rFonts w:ascii="Cambria Math" w:eastAsia="Calibri" w:hAnsi="Calibri"/>
                <w:sz w:val="22"/>
                <w:szCs w:val="22"/>
                <w:lang w:eastAsia="en-US"/>
              </w:rPr>
              <m:t>1</m:t>
            </m:r>
          </m:sub>
        </m:sSub>
        <m:sSub>
          <m:sSubPr>
            <m:ctrlPr>
              <w:rPr>
                <w:rFonts w:ascii="Cambria Math" w:eastAsia="Calibri" w:hAnsi="Cambria Math"/>
                <w:i/>
                <w:sz w:val="22"/>
                <w:szCs w:val="22"/>
                <w:lang w:eastAsia="en-US"/>
              </w:rPr>
            </m:ctrlPr>
          </m:sSubPr>
          <m:e>
            <m:r>
              <w:rPr>
                <w:rFonts w:ascii="Cambria Math" w:eastAsia="Calibri" w:hAnsi="Calibri"/>
                <w:sz w:val="22"/>
                <w:szCs w:val="22"/>
                <w:lang w:eastAsia="en-US"/>
              </w:rPr>
              <m:t>,</m:t>
            </m:r>
            <m:r>
              <w:rPr>
                <w:rFonts w:ascii="Cambria Math" w:eastAsia="Calibri" w:hAnsi="Cambria Math"/>
                <w:sz w:val="22"/>
                <w:szCs w:val="22"/>
                <w:lang w:eastAsia="en-US"/>
              </w:rPr>
              <m:t>ξ</m:t>
            </m:r>
          </m:e>
          <m:sub>
            <m:r>
              <w:rPr>
                <w:rFonts w:ascii="Cambria Math" w:eastAsia="Calibri" w:hAnsi="Calibri"/>
                <w:sz w:val="22"/>
                <w:szCs w:val="22"/>
                <w:lang w:eastAsia="en-US"/>
              </w:rPr>
              <m:t>2</m:t>
            </m:r>
          </m:sub>
        </m:sSub>
      </m:oMath>
      <w:r w:rsidR="00611559" w:rsidRPr="00611559">
        <w:rPr>
          <w:rFonts w:eastAsia="Calibri"/>
          <w:sz w:val="24"/>
          <w:szCs w:val="24"/>
          <w:lang w:eastAsia="en-US"/>
        </w:rPr>
        <w:t xml:space="preserve"> – коэффициенты надежности, учитывающие увеличение фильтрационного сопротивления и, соответственно, продуктивности пластов из-за их прерывистости и зональной неоднородности, а также степень изученности пластов.</w:t>
      </w:r>
    </w:p>
    <w:p w14:paraId="56939F5E" w14:textId="77777777" w:rsidR="00611559" w:rsidRPr="00611559" w:rsidRDefault="00611559" w:rsidP="00611559">
      <w:pPr>
        <w:widowControl w:val="0"/>
        <w:spacing w:line="360" w:lineRule="auto"/>
        <w:ind w:firstLine="709"/>
        <w:jc w:val="both"/>
        <w:rPr>
          <w:rFonts w:eastAsia="Calibri"/>
          <w:i/>
          <w:sz w:val="24"/>
          <w:szCs w:val="24"/>
          <w:lang w:eastAsia="en-US"/>
        </w:rPr>
      </w:pPr>
      <w:r w:rsidRPr="00611559">
        <w:rPr>
          <w:rFonts w:eastAsia="Calibri"/>
          <w:i/>
          <w:sz w:val="24"/>
          <w:szCs w:val="24"/>
          <w:lang w:eastAsia="en-US"/>
        </w:rPr>
        <w:t>Извлекаемые запасы определяются по формуле:</w:t>
      </w:r>
    </w:p>
    <w:p w14:paraId="7855C74A"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Q</m:t>
              </m:r>
            </m:e>
            <m:sub>
              <m:r>
                <w:rPr>
                  <w:rFonts w:ascii="Cambria Math" w:eastAsia="Calibri" w:hAnsi="Cambria Math"/>
                  <w:sz w:val="22"/>
                  <w:szCs w:val="22"/>
                  <w:lang w:eastAsia="en-US"/>
                </w:rPr>
                <m:t>и</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Q</m:t>
              </m:r>
            </m:e>
            <m:sub>
              <m:r>
                <w:rPr>
                  <w:rFonts w:ascii="Cambria Math" w:eastAsia="Calibri" w:hAnsi="Cambria Math"/>
                  <w:sz w:val="22"/>
                  <w:szCs w:val="22"/>
                  <w:lang w:eastAsia="en-US"/>
                </w:rPr>
                <m:t>б</m:t>
              </m:r>
            </m:sub>
          </m:sSub>
          <m:r>
            <w:rPr>
              <w:rFonts w:ascii="Cambria Math" w:eastAsia="Calibri" w:hAnsi="Cambria Math"/>
              <w:sz w:val="22"/>
              <w:szCs w:val="22"/>
              <w:lang w:eastAsia="en-US"/>
            </w:rPr>
            <m:t>∙КИН</m:t>
          </m:r>
        </m:oMath>
      </m:oMathPara>
    </w:p>
    <w:p w14:paraId="0DCB628A"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4E8FF6F6"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Q</m:t>
            </m:r>
          </m:e>
          <m:sub>
            <m:r>
              <w:rPr>
                <w:rFonts w:ascii="Cambria Math" w:eastAsia="Calibri" w:hAnsi="Cambria Math"/>
                <w:sz w:val="22"/>
                <w:szCs w:val="22"/>
                <w:lang w:eastAsia="en-US"/>
              </w:rPr>
              <m:t>б</m:t>
            </m:r>
          </m:sub>
        </m:sSub>
      </m:oMath>
      <w:r w:rsidR="00611559" w:rsidRPr="00611559">
        <w:rPr>
          <w:rFonts w:eastAsia="Calibri"/>
          <w:sz w:val="24"/>
          <w:szCs w:val="24"/>
          <w:lang w:eastAsia="en-US"/>
        </w:rPr>
        <w:t xml:space="preserve"> – балансовые запасы нефти;</w:t>
      </w:r>
    </w:p>
    <w:p w14:paraId="0402295E"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КИН – коэффициент извлечения нефти, который определяется как:</w:t>
      </w:r>
    </w:p>
    <w:p w14:paraId="61F9A123"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КИН=</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1</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2</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4</m:t>
            </m:r>
          </m:sub>
        </m:sSub>
      </m:oMath>
      <w:r w:rsidRPr="00611559">
        <w:rPr>
          <w:rFonts w:eastAsia="Calibri"/>
          <w:sz w:val="24"/>
          <w:szCs w:val="24"/>
          <w:lang w:eastAsia="en-US"/>
        </w:rPr>
        <w:t>.</w:t>
      </w:r>
    </w:p>
    <w:p w14:paraId="40A79913"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Коэффициент K</w:t>
      </w:r>
      <w:r w:rsidRPr="00611559">
        <w:rPr>
          <w:rFonts w:eastAsia="Calibri"/>
          <w:sz w:val="24"/>
          <w:szCs w:val="24"/>
          <w:vertAlign w:val="subscript"/>
          <w:lang w:eastAsia="en-US"/>
        </w:rPr>
        <w:t>1</w:t>
      </w:r>
      <w:r w:rsidRPr="00611559">
        <w:rPr>
          <w:rFonts w:eastAsia="Calibri"/>
          <w:sz w:val="24"/>
          <w:szCs w:val="24"/>
          <w:lang w:eastAsia="en-US"/>
        </w:rPr>
        <w:t xml:space="preserve"> называется коэффициентом сетки и зависит от числа промысловых скважин и расстояния между ними:</w:t>
      </w:r>
    </w:p>
    <w:p w14:paraId="78A8542D" w14:textId="77777777" w:rsidR="00611559" w:rsidRPr="00611559" w:rsidRDefault="00512EFA" w:rsidP="00611559">
      <w:pPr>
        <w:widowControl w:val="0"/>
        <w:spacing w:line="360" w:lineRule="auto"/>
        <w:ind w:firstLine="709"/>
        <w:jc w:val="both"/>
        <w:rPr>
          <w:rFonts w:eastAsia="Calibri"/>
          <w: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1</m:t>
            </m:r>
          </m:sub>
        </m:sSub>
        <m:r>
          <w:rPr>
            <w:rFonts w:ascii="Cambria Math" w:eastAsia="Calibri" w:hAnsi="Cambria Math"/>
            <w:sz w:val="22"/>
            <w:szCs w:val="22"/>
            <w:lang w:eastAsia="en-US"/>
          </w:rPr>
          <m:t>=</m:t>
        </m:r>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e</m:t>
            </m:r>
          </m:e>
          <m:sup>
            <m:r>
              <w:rPr>
                <w:rFonts w:ascii="Cambria Math" w:eastAsia="Calibri" w:hAnsi="Cambria Math"/>
                <w:sz w:val="22"/>
                <w:szCs w:val="22"/>
                <w:lang w:eastAsia="en-US"/>
              </w:rPr>
              <m:t>-∝∙</m:t>
            </m:r>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S</m:t>
                </m:r>
              </m:e>
              <m:sup>
                <m:r>
                  <w:rPr>
                    <w:rFonts w:ascii="Cambria Math" w:eastAsia="Calibri" w:hAnsi="Cambria Math"/>
                    <w:sz w:val="22"/>
                    <w:szCs w:val="22"/>
                    <w:lang w:eastAsia="en-US"/>
                  </w:rPr>
                  <m:t>1</m:t>
                </m:r>
              </m:sup>
            </m:sSup>
          </m:sup>
        </m:sSup>
      </m:oMath>
      <w:r w:rsidR="00611559" w:rsidRPr="00611559">
        <w:rPr>
          <w:rFonts w:eastAsia="Calibri"/>
          <w:i/>
          <w:sz w:val="24"/>
          <w:szCs w:val="24"/>
          <w:lang w:eastAsia="en-US"/>
        </w:rPr>
        <w:t>,</w:t>
      </w:r>
    </w:p>
    <w:p w14:paraId="6CB2403A" w14:textId="77777777" w:rsidR="00611559" w:rsidRPr="00611559" w:rsidRDefault="00611559" w:rsidP="00611559">
      <w:pPr>
        <w:widowControl w:val="0"/>
        <w:spacing w:line="360" w:lineRule="auto"/>
        <w:ind w:firstLine="709"/>
        <w:jc w:val="both"/>
        <w:rPr>
          <w:rFonts w:eastAsia="Calibri"/>
          <w:i/>
          <w:sz w:val="24"/>
          <w:szCs w:val="24"/>
          <w:lang w:eastAsia="en-US"/>
        </w:rPr>
      </w:pPr>
      <m:oMathPara>
        <m:oMath>
          <m:r>
            <w:rPr>
              <w:rFonts w:ascii="Cambria Math" w:eastAsia="Calibri" w:hAnsi="Cambria Math"/>
              <w:sz w:val="22"/>
              <w:szCs w:val="22"/>
              <w:lang w:eastAsia="en-US"/>
            </w:rPr>
            <m:t>α=</m:t>
          </m:r>
          <m:f>
            <m:fPr>
              <m:ctrlPr>
                <w:rPr>
                  <w:rFonts w:ascii="Cambria Math" w:eastAsia="Calibri" w:hAnsi="Cambria Math"/>
                  <w:i/>
                  <w:sz w:val="22"/>
                  <w:szCs w:val="22"/>
                  <w:lang w:eastAsia="en-US"/>
                </w:rPr>
              </m:ctrlPr>
            </m:fPr>
            <m:num>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w</m:t>
                  </m:r>
                </m:e>
                <m:sup>
                  <m:r>
                    <w:rPr>
                      <w:rFonts w:ascii="Cambria Math" w:eastAsia="Calibri" w:hAnsi="Cambria Math"/>
                      <w:sz w:val="22"/>
                      <w:szCs w:val="22"/>
                      <w:lang w:eastAsia="en-US"/>
                    </w:rPr>
                    <m:t>2</m:t>
                  </m:r>
                </m:sup>
              </m:sSup>
            </m:num>
            <m:den>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d</m:t>
                  </m:r>
                </m:e>
                <m:sup>
                  <m:r>
                    <w:rPr>
                      <w:rFonts w:ascii="Cambria Math" w:eastAsia="Calibri" w:hAnsi="Cambria Math"/>
                      <w:sz w:val="22"/>
                      <w:szCs w:val="22"/>
                      <w:lang w:eastAsia="en-US"/>
                    </w:rPr>
                    <m:t>2</m:t>
                  </m:r>
                </m:sup>
              </m:sSup>
            </m:den>
          </m:f>
        </m:oMath>
      </m:oMathPara>
    </w:p>
    <w:p w14:paraId="0D56D0E8"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5699140B"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S</w:t>
      </w:r>
      <w:r w:rsidRPr="00611559">
        <w:rPr>
          <w:rFonts w:eastAsia="Calibri"/>
          <w:sz w:val="24"/>
          <w:szCs w:val="24"/>
          <w:lang w:eastAsia="en-US"/>
        </w:rPr>
        <w:t xml:space="preserve"> – площадь, приходящаяся на одну скважину;</w:t>
      </w:r>
    </w:p>
    <w:p w14:paraId="49A2D9F0"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w</m:t>
        </m:r>
      </m:oMath>
      <w:r w:rsidRPr="00611559">
        <w:rPr>
          <w:rFonts w:eastAsia="Calibri"/>
          <w:sz w:val="24"/>
          <w:szCs w:val="24"/>
          <w:lang w:eastAsia="en-US"/>
        </w:rPr>
        <w:t xml:space="preserve"> - доля неколлектора по площади распространения обособленных слоев;</w:t>
      </w:r>
    </w:p>
    <w:p w14:paraId="078FB444" w14:textId="77777777" w:rsidR="00611559" w:rsidRPr="00611559" w:rsidRDefault="00611559" w:rsidP="00611559">
      <w:pPr>
        <w:widowControl w:val="0"/>
        <w:spacing w:line="360" w:lineRule="auto"/>
        <w:ind w:firstLine="709"/>
        <w:jc w:val="both"/>
        <w:rPr>
          <w:rFonts w:eastAsia="Calibri"/>
          <w:sz w:val="24"/>
          <w:szCs w:val="24"/>
          <w:lang w:eastAsia="en-US"/>
        </w:rPr>
      </w:pPr>
      <m:oMath>
        <m:r>
          <w:rPr>
            <w:rFonts w:ascii="Cambria Math" w:eastAsia="Calibri" w:hAnsi="Cambria Math"/>
            <w:sz w:val="22"/>
            <w:szCs w:val="22"/>
            <w:lang w:eastAsia="en-US"/>
          </w:rPr>
          <m:t>d</m:t>
        </m:r>
      </m:oMath>
      <w:r w:rsidRPr="00611559">
        <w:rPr>
          <w:rFonts w:eastAsia="Calibri"/>
          <w:sz w:val="24"/>
          <w:szCs w:val="24"/>
          <w:lang w:eastAsia="en-US"/>
        </w:rPr>
        <w:t xml:space="preserve"> - площадь квадратных зон, которыми моделируется зональная неоднородность пластов.</w:t>
      </w:r>
    </w:p>
    <w:p w14:paraId="2F0353A5"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Коэффициент K</w:t>
      </w:r>
      <w:r w:rsidRPr="00611559">
        <w:rPr>
          <w:rFonts w:eastAsia="Calibri"/>
          <w:sz w:val="24"/>
          <w:szCs w:val="24"/>
          <w:vertAlign w:val="subscript"/>
          <w:lang w:eastAsia="en-US"/>
        </w:rPr>
        <w:t>2</w:t>
      </w:r>
      <w:r w:rsidRPr="00611559">
        <w:rPr>
          <w:rFonts w:eastAsia="Calibri"/>
          <w:sz w:val="24"/>
          <w:szCs w:val="24"/>
          <w:lang w:eastAsia="en-US"/>
        </w:rPr>
        <w:t xml:space="preserve"> в формуле КИН, обозначает коэффициент вытеснения.</w:t>
      </w:r>
    </w:p>
    <w:p w14:paraId="2DACAA99"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Коэффициент К</w:t>
      </w:r>
      <w:r w:rsidRPr="00611559">
        <w:rPr>
          <w:rFonts w:eastAsia="Calibri"/>
          <w:sz w:val="24"/>
          <w:szCs w:val="24"/>
          <w:vertAlign w:val="subscript"/>
          <w:lang w:eastAsia="en-US"/>
        </w:rPr>
        <w:t>3</w:t>
      </w:r>
      <w:r w:rsidRPr="00611559">
        <w:rPr>
          <w:rFonts w:eastAsia="Calibri"/>
          <w:sz w:val="24"/>
          <w:szCs w:val="24"/>
          <w:lang w:eastAsia="en-US"/>
        </w:rPr>
        <w:t xml:space="preserve"> в формуле КИН характеризует коэффициент заводнения и определяется по формуле:</w:t>
      </w:r>
    </w:p>
    <w:p w14:paraId="54197843"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3н</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3к</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3н</m:t>
              </m:r>
            </m:sub>
          </m:sSub>
          <m:r>
            <w:rPr>
              <w:rFonts w:ascii="Cambria Math" w:eastAsia="Calibri" w:hAnsi="Cambria Math"/>
              <w:sz w:val="22"/>
              <w:szCs w:val="22"/>
              <w:lang w:eastAsia="en-US"/>
            </w:rPr>
            <m:t>)∙A</m:t>
          </m:r>
        </m:oMath>
      </m:oMathPara>
    </w:p>
    <w:p w14:paraId="70278385"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36ED75B6"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lastRenderedPageBreak/>
        <w:t>К</w:t>
      </w:r>
      <w:r w:rsidRPr="00611559">
        <w:rPr>
          <w:rFonts w:eastAsia="Calibri"/>
          <w:i/>
          <w:sz w:val="24"/>
          <w:szCs w:val="24"/>
          <w:vertAlign w:val="subscript"/>
          <w:lang w:eastAsia="en-US"/>
        </w:rPr>
        <w:t>3н</w:t>
      </w:r>
      <w:r w:rsidRPr="00611559">
        <w:rPr>
          <w:rFonts w:eastAsia="Calibri"/>
          <w:sz w:val="24"/>
          <w:szCs w:val="24"/>
          <w:lang w:eastAsia="en-US"/>
        </w:rPr>
        <w:t xml:space="preserve"> - доля отбора подвижных запасов за безводный период;</w:t>
      </w:r>
    </w:p>
    <w:p w14:paraId="4EC98C4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К</w:t>
      </w:r>
      <w:r w:rsidRPr="00611559">
        <w:rPr>
          <w:rFonts w:eastAsia="Calibri"/>
          <w:i/>
          <w:sz w:val="24"/>
          <w:szCs w:val="24"/>
          <w:vertAlign w:val="subscript"/>
          <w:lang w:eastAsia="en-US"/>
        </w:rPr>
        <w:t>3к</w:t>
      </w:r>
      <w:r w:rsidRPr="00611559">
        <w:rPr>
          <w:rFonts w:eastAsia="Calibri"/>
          <w:sz w:val="24"/>
          <w:szCs w:val="24"/>
          <w:lang w:eastAsia="en-US"/>
        </w:rPr>
        <w:t xml:space="preserve"> - конечная доля отбора подвижных запасов;</w:t>
      </w:r>
    </w:p>
    <w:p w14:paraId="25174C5F"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А</w:t>
      </w:r>
      <w:r w:rsidRPr="00611559">
        <w:rPr>
          <w:rFonts w:eastAsia="Calibri"/>
          <w:sz w:val="24"/>
          <w:szCs w:val="24"/>
          <w:lang w:eastAsia="en-US"/>
        </w:rPr>
        <w:t xml:space="preserve"> – расчетная предельная обводненность.</w:t>
      </w:r>
    </w:p>
    <w:p w14:paraId="09D9A46B"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зн</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1.2+4.2∙</m:t>
              </m:r>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V</m:t>
                  </m:r>
                </m:e>
                <m:sup>
                  <m:r>
                    <w:rPr>
                      <w:rFonts w:ascii="Cambria Math" w:eastAsia="Calibri" w:hAnsi="Cambria Math"/>
                      <w:sz w:val="22"/>
                      <w:szCs w:val="22"/>
                      <w:lang w:eastAsia="en-US"/>
                    </w:rPr>
                    <m:t>2</m:t>
                  </m:r>
                </m:sup>
              </m:sSup>
            </m:den>
          </m:f>
          <m:r>
            <w:rPr>
              <w:rFonts w:ascii="Cambria Math" w:eastAsia="Calibri" w:hAnsi="Cambria Math"/>
              <w:sz w:val="24"/>
              <w:szCs w:val="24"/>
              <w:lang w:eastAsia="en-US"/>
            </w:rPr>
            <m:t xml:space="preserve"> </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зк</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0.95+0.25∙</m:t>
              </m:r>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V</m:t>
                  </m:r>
                </m:e>
                <m:sup>
                  <m:r>
                    <w:rPr>
                      <w:rFonts w:ascii="Cambria Math" w:eastAsia="Calibri" w:hAnsi="Cambria Math"/>
                      <w:sz w:val="22"/>
                      <w:szCs w:val="22"/>
                      <w:lang w:eastAsia="en-US"/>
                    </w:rPr>
                    <m:t>2</m:t>
                  </m:r>
                </m:sup>
              </m:sSup>
            </m:den>
          </m:f>
          <m:r>
            <w:rPr>
              <w:rFonts w:ascii="Cambria Math" w:eastAsia="Calibri" w:hAnsi="Cambria Math"/>
              <w:sz w:val="24"/>
              <w:szCs w:val="24"/>
              <w:lang w:eastAsia="en-US"/>
            </w:rPr>
            <m:t xml:space="preserve"> </m:t>
          </m:r>
          <m:r>
            <w:rPr>
              <w:rFonts w:ascii="Cambria Math" w:eastAsia="Calibri" w:hAnsi="Cambria Math"/>
              <w:sz w:val="22"/>
              <w:szCs w:val="22"/>
              <w:lang w:eastAsia="en-US"/>
            </w:rPr>
            <m:t>A=</m:t>
          </m:r>
          <m:f>
            <m:fPr>
              <m:ctrlPr>
                <w:rPr>
                  <w:rFonts w:ascii="Cambria Math" w:eastAsia="Calibri" w:hAnsi="Cambria Math"/>
                  <w:i/>
                  <w:sz w:val="22"/>
                  <w:szCs w:val="22"/>
                  <w:lang w:eastAsia="en-US"/>
                </w:rPr>
              </m:ctrlPr>
            </m:fPr>
            <m:num>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A</m:t>
                  </m:r>
                </m:e>
                <m:sub>
                  <m:r>
                    <w:rPr>
                      <w:rFonts w:ascii="Cambria Math" w:eastAsia="Calibri" w:hAnsi="Cambria Math"/>
                      <w:sz w:val="22"/>
                      <w:szCs w:val="22"/>
                      <w:lang w:eastAsia="en-US"/>
                    </w:rPr>
                    <m:t>2</m:t>
                  </m:r>
                </m:sub>
              </m:sSub>
            </m:num>
            <m:den>
              <m:d>
                <m:dPr>
                  <m:ctrlPr>
                    <w:rPr>
                      <w:rFonts w:ascii="Cambria Math" w:eastAsia="Calibri" w:hAnsi="Cambria Math"/>
                      <w:i/>
                      <w:sz w:val="22"/>
                      <w:szCs w:val="22"/>
                      <w:lang w:eastAsia="en-US"/>
                    </w:rPr>
                  </m:ctrlPr>
                </m:dPr>
                <m:e>
                  <m:r>
                    <w:rPr>
                      <w:rFonts w:ascii="Cambria Math" w:eastAsia="Calibri" w:hAnsi="Cambria Math"/>
                      <w:sz w:val="22"/>
                      <w:szCs w:val="22"/>
                      <w:lang w:eastAsia="en-US"/>
                    </w:rPr>
                    <m:t>1-</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A</m:t>
                      </m:r>
                    </m:e>
                    <m:sub>
                      <m:r>
                        <w:rPr>
                          <w:rFonts w:ascii="Cambria Math" w:eastAsia="Calibri" w:hAnsi="Cambria Math"/>
                          <w:sz w:val="22"/>
                          <w:szCs w:val="22"/>
                          <w:lang w:eastAsia="en-US"/>
                        </w:rPr>
                        <m:t>2</m:t>
                      </m:r>
                    </m:sub>
                  </m:sSub>
                </m:e>
              </m:d>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0</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A</m:t>
                  </m:r>
                </m:e>
                <m:sub>
                  <m:r>
                    <w:rPr>
                      <w:rFonts w:ascii="Cambria Math" w:eastAsia="Calibri" w:hAnsi="Cambria Math"/>
                      <w:sz w:val="22"/>
                      <w:szCs w:val="22"/>
                      <w:lang w:eastAsia="en-US"/>
                    </w:rPr>
                    <m:t>2</m:t>
                  </m:r>
                </m:sub>
              </m:sSub>
            </m:den>
          </m:f>
        </m:oMath>
      </m:oMathPara>
    </w:p>
    <w:p w14:paraId="7D85506B"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7E6B17DF"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val="en-US" w:eastAsia="en-US"/>
        </w:rPr>
        <w:t>V</w:t>
      </w:r>
      <w:r w:rsidRPr="00611559">
        <w:rPr>
          <w:rFonts w:eastAsia="Calibri"/>
          <w:i/>
          <w:sz w:val="24"/>
          <w:szCs w:val="24"/>
          <w:vertAlign w:val="superscript"/>
          <w:lang w:eastAsia="en-US"/>
        </w:rPr>
        <w:t>2</w:t>
      </w:r>
      <w:r w:rsidRPr="00611559">
        <w:rPr>
          <w:rFonts w:eastAsia="Calibri"/>
          <w:sz w:val="24"/>
          <w:szCs w:val="24"/>
          <w:lang w:eastAsia="en-US"/>
        </w:rPr>
        <w:t xml:space="preserve"> – расчетная послойная неоднородность;</w:t>
      </w:r>
    </w:p>
    <w:p w14:paraId="6D7FC1B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А</w:t>
      </w:r>
      <w:r w:rsidRPr="00611559">
        <w:rPr>
          <w:rFonts w:eastAsia="Calibri"/>
          <w:i/>
          <w:sz w:val="24"/>
          <w:szCs w:val="24"/>
          <w:vertAlign w:val="subscript"/>
          <w:lang w:eastAsia="en-US"/>
        </w:rPr>
        <w:t>2</w:t>
      </w:r>
      <w:r w:rsidRPr="00611559">
        <w:rPr>
          <w:rFonts w:eastAsia="Calibri"/>
          <w:i/>
          <w:sz w:val="24"/>
          <w:szCs w:val="24"/>
          <w:lang w:eastAsia="en-US"/>
        </w:rPr>
        <w:t xml:space="preserve"> – </w:t>
      </w:r>
      <w:r w:rsidRPr="00611559">
        <w:rPr>
          <w:rFonts w:eastAsia="Calibri"/>
          <w:sz w:val="24"/>
          <w:szCs w:val="24"/>
          <w:lang w:eastAsia="en-US"/>
        </w:rPr>
        <w:t>предельная массовая доля вытесняющего агента в дебите жидкости эксплуатационных скважин;</w:t>
      </w:r>
    </w:p>
    <w:p w14:paraId="5937857C"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0</m:t>
            </m:r>
          </m:sub>
        </m:sSub>
      </m:oMath>
      <w:r w:rsidR="00611559" w:rsidRPr="00611559">
        <w:rPr>
          <w:rFonts w:eastAsia="Calibri"/>
          <w:sz w:val="24"/>
          <w:szCs w:val="24"/>
          <w:lang w:eastAsia="en-US"/>
        </w:rPr>
        <w:t xml:space="preserve"> – коэффициент, учитывающий различие физических свойств нефти и воды в пластовых условиях:</w:t>
      </w:r>
    </w:p>
    <w:p w14:paraId="4208D790"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0</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2</m:t>
              </m:r>
            </m:den>
          </m:f>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r>
                <w:rPr>
                  <w:rFonts w:ascii="Cambria Math" w:eastAsia="Calibri" w:hAnsi="Cambria Math"/>
                  <w:sz w:val="22"/>
                  <w:szCs w:val="22"/>
                  <w:lang w:eastAsia="en-US"/>
                </w:rPr>
                <m:t>1+</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m:t>
                  </m:r>
                </m:sub>
              </m:sSub>
            </m:e>
          </m:d>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в</m:t>
                  </m:r>
                </m:sub>
              </m:sSub>
            </m:num>
            <m:den>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н</m:t>
                  </m:r>
                </m:sub>
              </m:sSub>
            </m:den>
          </m:f>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b</m:t>
              </m:r>
            </m:e>
            <m:sub>
              <m:r>
                <w:rPr>
                  <w:rFonts w:ascii="Cambria Math" w:eastAsia="Calibri" w:hAnsi="Cambria Math"/>
                  <w:sz w:val="22"/>
                  <w:szCs w:val="22"/>
                  <w:lang w:eastAsia="en-US"/>
                </w:rPr>
                <m:t>н</m:t>
              </m:r>
            </m:sub>
          </m:sSub>
        </m:oMath>
      </m:oMathPara>
    </w:p>
    <w:p w14:paraId="68429044"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н</m:t>
                  </m:r>
                </m:sub>
              </m:sSub>
            </m:num>
            <m:den>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в</m:t>
                  </m:r>
                </m:sub>
              </m:sSub>
            </m:den>
          </m:f>
          <m:r>
            <w:rPr>
              <w:rFonts w:ascii="Cambria Math" w:eastAsia="Calibri" w:hAnsi="Cambria Math"/>
              <w:sz w:val="22"/>
              <w:szCs w:val="22"/>
              <w:lang w:eastAsia="en-US"/>
            </w:rPr>
            <m:t>∙</m:t>
          </m:r>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K</m:t>
              </m:r>
            </m:e>
            <m:sub>
              <m:r>
                <w:rPr>
                  <w:rFonts w:ascii="Cambria Math" w:eastAsia="Calibri" w:hAnsi="Cambria Math"/>
                  <w:sz w:val="22"/>
                  <w:szCs w:val="22"/>
                  <w:lang w:eastAsia="en-US"/>
                </w:rPr>
                <m:t>2</m:t>
              </m:r>
            </m:sub>
            <m:sup>
              <m:r>
                <w:rPr>
                  <w:rFonts w:ascii="Cambria Math" w:eastAsia="Calibri" w:hAnsi="Cambria Math"/>
                  <w:sz w:val="22"/>
                  <w:szCs w:val="22"/>
                  <w:lang w:eastAsia="en-US"/>
                </w:rPr>
                <m:t>1.5</m:t>
              </m:r>
            </m:sup>
          </m:sSubSup>
        </m:oMath>
      </m:oMathPara>
    </w:p>
    <w:p w14:paraId="5CA5828D"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548E531B"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в</m:t>
            </m:r>
          </m:sub>
        </m:sSub>
      </m:oMath>
      <w:r w:rsidR="00611559" w:rsidRPr="00611559">
        <w:rPr>
          <w:rFonts w:eastAsia="Calibri"/>
          <w:sz w:val="24"/>
          <w:szCs w:val="24"/>
          <w:lang w:eastAsia="en-US"/>
        </w:rPr>
        <w:t xml:space="preserve">, </w:t>
      </w: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н</m:t>
            </m:r>
          </m:sub>
        </m:sSub>
      </m:oMath>
      <w:r w:rsidR="00611559" w:rsidRPr="00611559">
        <w:rPr>
          <w:rFonts w:eastAsia="Calibri"/>
          <w:sz w:val="24"/>
          <w:szCs w:val="24"/>
          <w:lang w:eastAsia="en-US"/>
        </w:rPr>
        <w:t xml:space="preserve"> - плотности воды и нефти;</w:t>
      </w:r>
    </w:p>
    <w:p w14:paraId="7317249F"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b</m:t>
            </m:r>
          </m:e>
          <m:sub>
            <m:r>
              <w:rPr>
                <w:rFonts w:ascii="Cambria Math" w:eastAsia="Calibri" w:hAnsi="Cambria Math"/>
                <w:sz w:val="22"/>
                <w:szCs w:val="22"/>
                <w:lang w:eastAsia="en-US"/>
              </w:rPr>
              <m:t>н</m:t>
            </m:r>
          </m:sub>
        </m:sSub>
      </m:oMath>
      <w:r w:rsidR="00611559" w:rsidRPr="00611559">
        <w:rPr>
          <w:rFonts w:eastAsia="Calibri"/>
          <w:sz w:val="24"/>
          <w:szCs w:val="24"/>
          <w:lang w:eastAsia="en-US"/>
        </w:rPr>
        <w:t xml:space="preserve"> - объемный коэффициент нефти;</w:t>
      </w:r>
    </w:p>
    <w:p w14:paraId="59E4E497"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К</w:t>
      </w:r>
      <w:r w:rsidRPr="00611559">
        <w:rPr>
          <w:rFonts w:eastAsia="Calibri"/>
          <w:i/>
          <w:sz w:val="24"/>
          <w:szCs w:val="24"/>
          <w:vertAlign w:val="subscript"/>
          <w:lang w:eastAsia="en-US"/>
        </w:rPr>
        <w:t>2</w:t>
      </w:r>
      <w:r w:rsidRPr="00611559">
        <w:rPr>
          <w:rFonts w:eastAsia="Calibri"/>
          <w:sz w:val="24"/>
          <w:szCs w:val="24"/>
          <w:lang w:eastAsia="en-US"/>
        </w:rPr>
        <w:t xml:space="preserve"> – коэффициент вытеснения.</w:t>
      </w:r>
    </w:p>
    <w:p w14:paraId="3D22665F"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Для определения значения расчетной послойной неоднородности (V</w:t>
      </w:r>
      <w:r w:rsidRPr="00611559">
        <w:rPr>
          <w:rFonts w:eastAsia="Calibri"/>
          <w:sz w:val="24"/>
          <w:szCs w:val="24"/>
          <w:vertAlign w:val="superscript"/>
          <w:lang w:eastAsia="en-US"/>
        </w:rPr>
        <w:t>2</w:t>
      </w:r>
      <w:r w:rsidRPr="00611559">
        <w:rPr>
          <w:rFonts w:eastAsia="Calibri"/>
          <w:sz w:val="24"/>
          <w:szCs w:val="24"/>
          <w:lang w:eastAsia="en-US"/>
        </w:rPr>
        <w:t>) необходимо установить действительную послойную и зональную неоднородности:</w:t>
      </w:r>
    </w:p>
    <w:p w14:paraId="6BBE2B77"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V</m:t>
              </m:r>
            </m:e>
            <m:sup>
              <m:r>
                <w:rPr>
                  <w:rFonts w:ascii="Cambria Math" w:eastAsia="Calibri" w:hAnsi="Cambria Math"/>
                  <w:sz w:val="22"/>
                  <w:szCs w:val="22"/>
                  <w:lang w:eastAsia="en-US"/>
                </w:rPr>
                <m:t>2</m:t>
              </m:r>
            </m:sup>
          </m:sSup>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V</m:t>
                  </m:r>
                </m:e>
                <m:sub>
                  <m:r>
                    <w:rPr>
                      <w:rFonts w:ascii="Cambria Math" w:eastAsia="Calibri" w:hAnsi="Cambria Math"/>
                      <w:sz w:val="22"/>
                      <w:szCs w:val="22"/>
                      <w:lang w:eastAsia="en-US"/>
                    </w:rPr>
                    <m:t>1</m:t>
                  </m:r>
                </m:sub>
                <m:sup>
                  <m:r>
                    <w:rPr>
                      <w:rFonts w:ascii="Cambria Math" w:eastAsia="Calibri" w:hAnsi="Cambria Math"/>
                      <w:sz w:val="22"/>
                      <w:szCs w:val="22"/>
                      <w:lang w:eastAsia="en-US"/>
                    </w:rPr>
                    <m:t>2</m:t>
                  </m:r>
                </m:sup>
              </m:sSubSup>
              <m:r>
                <w:rPr>
                  <w:rFonts w:ascii="Cambria Math" w:eastAsia="Calibri" w:hAnsi="Cambria Math"/>
                  <w:sz w:val="22"/>
                  <w:szCs w:val="22"/>
                  <w:lang w:eastAsia="en-US"/>
                </w:rPr>
                <m:t>+1</m:t>
              </m:r>
            </m:e>
          </m:d>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f>
                <m:fPr>
                  <m:ctrlPr>
                    <w:rPr>
                      <w:rFonts w:ascii="Cambria Math" w:eastAsia="Calibri" w:hAnsi="Cambria Math"/>
                      <w:i/>
                      <w:sz w:val="22"/>
                      <w:szCs w:val="22"/>
                      <w:lang w:eastAsia="en-US"/>
                    </w:rPr>
                  </m:ctrlPr>
                </m:fPr>
                <m:num>
                  <m:r>
                    <w:rPr>
                      <w:rFonts w:ascii="Cambria Math" w:eastAsia="Calibri" w:hAnsi="Cambria Math"/>
                      <w:sz w:val="22"/>
                      <w:szCs w:val="22"/>
                      <w:lang w:eastAsia="en-US"/>
                    </w:rPr>
                    <m:t>2</m:t>
                  </m:r>
                </m:num>
                <m:den>
                  <m:r>
                    <w:rPr>
                      <w:rFonts w:ascii="Cambria Math" w:eastAsia="Calibri" w:hAnsi="Cambria Math"/>
                      <w:sz w:val="22"/>
                      <w:szCs w:val="22"/>
                      <w:lang w:eastAsia="en-US"/>
                    </w:rPr>
                    <m:t>3</m:t>
                  </m:r>
                </m:den>
              </m:f>
              <m:f>
                <m:fPr>
                  <m:ctrlPr>
                    <w:rPr>
                      <w:rFonts w:ascii="Cambria Math" w:eastAsia="Calibri" w:hAnsi="Cambria Math"/>
                      <w:i/>
                      <w:sz w:val="22"/>
                      <w:szCs w:val="22"/>
                      <w:lang w:eastAsia="en-US"/>
                    </w:rPr>
                  </m:ctrlPr>
                </m:fPr>
                <m:num>
                  <m:r>
                    <w:rPr>
                      <w:rFonts w:ascii="Cambria Math" w:eastAsia="Calibri" w:hAnsi="Cambria Math"/>
                      <w:sz w:val="22"/>
                      <w:szCs w:val="22"/>
                      <w:lang w:eastAsia="en-US"/>
                    </w:rPr>
                    <m:t>(M-1</m:t>
                  </m:r>
                  <m:sSup>
                    <m:sSupPr>
                      <m:ctrlPr>
                        <w:rPr>
                          <w:rFonts w:ascii="Cambria Math" w:eastAsia="Calibri" w:hAnsi="Cambria Math"/>
                          <w:i/>
                          <w:sz w:val="22"/>
                          <w:szCs w:val="22"/>
                          <w:lang w:eastAsia="en-US"/>
                        </w:rPr>
                      </m:ctrlPr>
                    </m:sSupPr>
                    <m:e>
                      <m:r>
                        <w:rPr>
                          <w:rFonts w:ascii="Cambria Math" w:eastAsia="Calibri" w:hAnsi="Cambria Math"/>
                          <w:sz w:val="22"/>
                          <w:szCs w:val="22"/>
                          <w:lang w:eastAsia="en-US"/>
                        </w:rPr>
                        <m:t>)</m:t>
                      </m:r>
                    </m:e>
                    <m:sup>
                      <m:r>
                        <w:rPr>
                          <w:rFonts w:ascii="Cambria Math" w:eastAsia="Calibri" w:hAnsi="Cambria Math"/>
                          <w:sz w:val="22"/>
                          <w:szCs w:val="22"/>
                          <w:lang w:eastAsia="en-US"/>
                        </w:rPr>
                        <m:t>2</m:t>
                      </m:r>
                    </m:sup>
                  </m:sSup>
                </m:num>
                <m:den>
                  <m:r>
                    <w:rPr>
                      <w:rFonts w:ascii="Cambria Math" w:eastAsia="Calibri" w:hAnsi="Cambria Math"/>
                      <w:sz w:val="22"/>
                      <w:szCs w:val="22"/>
                      <w:lang w:eastAsia="en-US"/>
                    </w:rPr>
                    <m:t>M</m:t>
                  </m:r>
                </m:den>
              </m:f>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2</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m:t>
                      </m:r>
                    </m:sub>
                  </m:sSub>
                </m:num>
                <m:den>
                  <m:r>
                    <w:rPr>
                      <w:rFonts w:ascii="Cambria Math" w:eastAsia="Calibri" w:hAnsi="Cambria Math"/>
                      <w:sz w:val="22"/>
                      <w:szCs w:val="22"/>
                      <w:lang w:eastAsia="en-US"/>
                    </w:rPr>
                    <m:t>1+</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m:t>
                      </m:r>
                    </m:sub>
                  </m:sSub>
                </m:den>
              </m:f>
              <m:r>
                <w:rPr>
                  <w:rFonts w:ascii="Cambria Math" w:eastAsia="Calibri" w:hAnsi="Cambria Math"/>
                  <w:sz w:val="22"/>
                  <w:szCs w:val="22"/>
                  <w:lang w:eastAsia="en-US"/>
                </w:rPr>
                <m:t>+1</m:t>
              </m:r>
            </m:e>
          </m:d>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f>
                <m:fPr>
                  <m:ctrlPr>
                    <w:rPr>
                      <w:rFonts w:ascii="Cambria Math" w:eastAsia="Calibri" w:hAnsi="Cambria Math"/>
                      <w:i/>
                      <w:sz w:val="22"/>
                      <w:szCs w:val="22"/>
                      <w:lang w:eastAsia="en-US"/>
                    </w:rPr>
                  </m:ctrlPr>
                </m:fPr>
                <m:num>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V</m:t>
                      </m:r>
                    </m:e>
                    <m:sub>
                      <m:r>
                        <w:rPr>
                          <w:rFonts w:ascii="Cambria Math" w:eastAsia="Calibri" w:hAnsi="Cambria Math"/>
                          <w:sz w:val="22"/>
                          <w:szCs w:val="22"/>
                          <w:lang w:eastAsia="en-US"/>
                        </w:rPr>
                        <m:t>зон</m:t>
                      </m:r>
                    </m:sub>
                    <m:sup>
                      <m:r>
                        <w:rPr>
                          <w:rFonts w:ascii="Cambria Math" w:eastAsia="Calibri" w:hAnsi="Cambria Math"/>
                          <w:sz w:val="22"/>
                          <w:szCs w:val="22"/>
                          <w:lang w:eastAsia="en-US"/>
                        </w:rPr>
                        <m:t>2</m:t>
                      </m:r>
                    </m:sup>
                  </m:sSubSup>
                  <m:r>
                    <w:rPr>
                      <w:rFonts w:ascii="Cambria Math" w:eastAsia="Calibri" w:hAnsi="Cambria Math"/>
                      <w:sz w:val="22"/>
                      <w:szCs w:val="22"/>
                      <w:lang w:eastAsia="en-US"/>
                    </w:rPr>
                    <m:t>+1</m:t>
                  </m:r>
                </m:num>
                <m:den>
                  <m:f>
                    <m:fPr>
                      <m:ctrlPr>
                        <w:rPr>
                          <w:rFonts w:ascii="Cambria Math" w:eastAsia="Calibri" w:hAnsi="Cambria Math"/>
                          <w:i/>
                          <w:sz w:val="22"/>
                          <w:szCs w:val="22"/>
                          <w:lang w:eastAsia="en-US"/>
                        </w:rPr>
                      </m:ctrlPr>
                    </m:fPr>
                    <m:num>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V</m:t>
                          </m:r>
                        </m:e>
                        <m:sub>
                          <m:r>
                            <w:rPr>
                              <w:rFonts w:ascii="Cambria Math" w:eastAsia="Calibri" w:hAnsi="Cambria Math"/>
                              <w:sz w:val="22"/>
                              <w:szCs w:val="22"/>
                              <w:lang w:eastAsia="en-US"/>
                            </w:rPr>
                            <m:t>зон</m:t>
                          </m:r>
                        </m:sub>
                        <m:sup>
                          <m:r>
                            <w:rPr>
                              <w:rFonts w:ascii="Cambria Math" w:eastAsia="Calibri" w:hAnsi="Cambria Math"/>
                              <w:sz w:val="22"/>
                              <w:szCs w:val="22"/>
                              <w:lang w:eastAsia="en-US"/>
                            </w:rPr>
                            <m:t>2</m:t>
                          </m:r>
                        </m:sup>
                      </m:sSubSup>
                    </m:num>
                    <m:den>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n</m:t>
                          </m:r>
                        </m:e>
                        <m:sub>
                          <m:r>
                            <w:rPr>
                              <w:rFonts w:ascii="Cambria Math" w:eastAsia="Calibri" w:hAnsi="Cambria Math"/>
                              <w:sz w:val="22"/>
                              <w:szCs w:val="22"/>
                              <w:lang w:eastAsia="en-US"/>
                            </w:rPr>
                            <m:t>*</m:t>
                          </m:r>
                        </m:sub>
                      </m:sSub>
                    </m:den>
                  </m:f>
                  <m:r>
                    <w:rPr>
                      <w:rFonts w:ascii="Cambria Math" w:eastAsia="Calibri" w:hAnsi="Cambria Math"/>
                      <w:sz w:val="22"/>
                      <w:szCs w:val="22"/>
                      <w:lang w:eastAsia="en-US"/>
                    </w:rPr>
                    <m:t>+1</m:t>
                  </m:r>
                </m:den>
              </m:f>
              <m:r>
                <w:rPr>
                  <w:rFonts w:ascii="Cambria Math" w:eastAsia="Calibri" w:hAnsi="Cambria Math"/>
                  <w:sz w:val="22"/>
                  <w:szCs w:val="22"/>
                  <w:lang w:eastAsia="en-US"/>
                </w:rPr>
                <m:t>+1</m:t>
              </m:r>
            </m:e>
          </m:d>
          <m:r>
            <w:rPr>
              <w:rFonts w:ascii="Cambria Math" w:eastAsia="Calibri" w:hAnsi="Cambria Math"/>
              <w:sz w:val="22"/>
              <w:szCs w:val="22"/>
              <w:lang w:eastAsia="en-US"/>
            </w:rPr>
            <m:t>-1</m:t>
          </m:r>
        </m:oMath>
      </m:oMathPara>
    </w:p>
    <w:p w14:paraId="79967614"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eastAsia="en-US"/>
        </w:rPr>
        <w:t>М</w:t>
      </w:r>
      <w:r w:rsidRPr="00611559">
        <w:rPr>
          <w:rFonts w:eastAsia="Calibri"/>
          <w:sz w:val="24"/>
          <w:szCs w:val="24"/>
          <w:lang w:eastAsia="en-US"/>
        </w:rPr>
        <w:t xml:space="preserve"> - соотношение длин нейтральной (самой длинной) и главной (самой короткой) линий тока, идущих от нагнетательной скважины к добывающей;</w:t>
      </w:r>
    </w:p>
    <w:p w14:paraId="1C3CD53A"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val="en-US" w:eastAsia="en-US"/>
        </w:rPr>
        <w:t>n</w:t>
      </w:r>
      <w:r w:rsidRPr="00611559">
        <w:rPr>
          <w:rFonts w:eastAsia="Calibri"/>
          <w:i/>
          <w:sz w:val="24"/>
          <w:szCs w:val="24"/>
          <w:vertAlign w:val="subscript"/>
          <w:lang w:eastAsia="en-US"/>
        </w:rPr>
        <w:t>*</w:t>
      </w:r>
      <w:r w:rsidRPr="00611559">
        <w:rPr>
          <w:rFonts w:eastAsia="Calibri"/>
          <w:sz w:val="24"/>
          <w:szCs w:val="24"/>
          <w:lang w:eastAsia="en-US"/>
        </w:rPr>
        <w:t xml:space="preserve"> - число сторон подхода воды к добывающим скважинам (при 5-ти точечной системе размещения скважин эта величина равна 4).</w:t>
      </w:r>
    </w:p>
    <w:p w14:paraId="64CCE490"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Коэффициент надежности К</w:t>
      </w:r>
      <w:r w:rsidRPr="00611559">
        <w:rPr>
          <w:rFonts w:eastAsia="Calibri"/>
          <w:sz w:val="24"/>
          <w:szCs w:val="24"/>
          <w:vertAlign w:val="subscript"/>
          <w:lang w:eastAsia="en-US"/>
        </w:rPr>
        <w:t>4</w:t>
      </w:r>
      <w:r w:rsidRPr="00611559">
        <w:rPr>
          <w:rFonts w:eastAsia="Calibri"/>
          <w:sz w:val="24"/>
          <w:szCs w:val="24"/>
          <w:lang w:eastAsia="en-US"/>
        </w:rPr>
        <w:t xml:space="preserve"> при отсутствии дублирования аварийно выбывших скважин этот коэффициент принимает вид:</w:t>
      </w:r>
    </w:p>
    <w:p w14:paraId="236967FE" w14:textId="77777777" w:rsidR="00611559" w:rsidRPr="00611559" w:rsidRDefault="00512EFA" w:rsidP="00611559">
      <w:pPr>
        <w:widowControl w:val="0"/>
        <w:spacing w:line="360" w:lineRule="auto"/>
        <w:ind w:firstLine="709"/>
        <w:jc w:val="both"/>
        <w:rPr>
          <w:rFonts w:eastAsia="Calibri"/>
          <w:sz w:val="24"/>
          <w:szCs w:val="24"/>
          <w:lang w:eastAsia="en-US"/>
        </w:rPr>
      </w:pPr>
      <m:oMathPara>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4</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1+</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val="en-US" w:eastAsia="en-US"/>
                    </w:rPr>
                    <m:t>I</m:t>
                  </m:r>
                  <m:r>
                    <w:rPr>
                      <w:rFonts w:ascii="Cambria Math" w:eastAsia="Calibri" w:hAnsi="Cambria Math"/>
                      <w:sz w:val="22"/>
                      <w:szCs w:val="22"/>
                      <w:lang w:eastAsia="en-US"/>
                    </w:rPr>
                    <m:t>∙</m:t>
                  </m:r>
                  <m:r>
                    <w:rPr>
                      <w:rFonts w:ascii="Cambria Math" w:eastAsia="Calibri" w:hAnsi="Cambria Math"/>
                      <w:sz w:val="22"/>
                      <w:szCs w:val="22"/>
                      <w:lang w:val="en-US" w:eastAsia="en-US"/>
                    </w:rPr>
                    <m:t>T</m:t>
                  </m:r>
                </m:den>
              </m:f>
            </m:den>
          </m:f>
        </m:oMath>
      </m:oMathPara>
    </w:p>
    <w:p w14:paraId="1DC74288"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 xml:space="preserve">где </w:t>
      </w:r>
    </w:p>
    <w:p w14:paraId="00502B49"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val="en-US" w:eastAsia="en-US"/>
        </w:rPr>
        <w:t>I</w:t>
      </w:r>
      <w:r w:rsidRPr="00611559">
        <w:rPr>
          <w:rFonts w:eastAsia="Calibri"/>
          <w:i/>
          <w:sz w:val="24"/>
          <w:szCs w:val="24"/>
          <w:lang w:eastAsia="en-US"/>
        </w:rPr>
        <w:t xml:space="preserve"> </w:t>
      </w:r>
      <w:r w:rsidRPr="00611559">
        <w:rPr>
          <w:rFonts w:eastAsia="Calibri"/>
          <w:sz w:val="24"/>
          <w:szCs w:val="24"/>
          <w:lang w:eastAsia="en-US"/>
        </w:rPr>
        <w:t>– текущий годовой темп отбора извлекаемых запасов нефти;</w:t>
      </w:r>
    </w:p>
    <w:p w14:paraId="1E9934C3"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val="en-US" w:eastAsia="en-US"/>
        </w:rPr>
        <w:t>T</w:t>
      </w:r>
      <w:r w:rsidRPr="00611559">
        <w:rPr>
          <w:rFonts w:eastAsia="Calibri"/>
          <w:sz w:val="24"/>
          <w:szCs w:val="24"/>
          <w:lang w:eastAsia="en-US"/>
        </w:rPr>
        <w:t xml:space="preserve"> – средняя долговечность скважины, годы.</w:t>
      </w:r>
    </w:p>
    <w:p w14:paraId="260401FA" w14:textId="77777777" w:rsidR="0068456A" w:rsidRDefault="0068456A" w:rsidP="00611559">
      <w:pPr>
        <w:widowControl w:val="0"/>
        <w:spacing w:line="360" w:lineRule="auto"/>
        <w:ind w:firstLine="709"/>
        <w:jc w:val="both"/>
        <w:rPr>
          <w:rFonts w:eastAsia="Calibri"/>
          <w:i/>
          <w:sz w:val="24"/>
          <w:szCs w:val="24"/>
          <w:u w:val="single"/>
          <w:lang w:eastAsia="en-US"/>
        </w:rPr>
      </w:pPr>
    </w:p>
    <w:p w14:paraId="7689DAE1" w14:textId="58436385" w:rsidR="00611559" w:rsidRPr="00611559" w:rsidRDefault="00611559" w:rsidP="00611559">
      <w:pPr>
        <w:widowControl w:val="0"/>
        <w:spacing w:line="360" w:lineRule="auto"/>
        <w:ind w:firstLine="709"/>
        <w:jc w:val="both"/>
        <w:rPr>
          <w:rFonts w:eastAsia="Calibri"/>
          <w:i/>
          <w:sz w:val="24"/>
          <w:szCs w:val="24"/>
          <w:u w:val="single"/>
          <w:lang w:eastAsia="en-US"/>
        </w:rPr>
      </w:pPr>
      <w:r w:rsidRPr="00611559">
        <w:rPr>
          <w:rFonts w:eastAsia="Calibri"/>
          <w:i/>
          <w:sz w:val="24"/>
          <w:szCs w:val="24"/>
          <w:u w:val="single"/>
          <w:lang w:eastAsia="en-US"/>
        </w:rPr>
        <w:lastRenderedPageBreak/>
        <w:t>Добыча жидкости при изменяющихся нефиксированных условиях разработки:</w:t>
      </w:r>
    </w:p>
    <w:p w14:paraId="219EE140"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0</m:t>
                  </m:r>
                </m:sub>
                <m:sup>
                  <m:r>
                    <w:rPr>
                      <w:rFonts w:ascii="Cambria Math" w:eastAsia="Calibri" w:hAnsi="Cambria Math"/>
                      <w:sz w:val="22"/>
                      <w:szCs w:val="22"/>
                      <w:lang w:eastAsia="en-US"/>
                    </w:rPr>
                    <m:t>t</m:t>
                  </m:r>
                </m:sup>
              </m:sSubSup>
            </m:num>
            <m:den>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Fи</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2</m:t>
                  </m:r>
                </m:den>
              </m:f>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0</m:t>
                  </m:r>
                </m:sub>
                <m:sup>
                  <m:r>
                    <w:rPr>
                      <w:rFonts w:ascii="Cambria Math" w:eastAsia="Calibri" w:hAnsi="Cambria Math"/>
                      <w:sz w:val="22"/>
                      <w:szCs w:val="22"/>
                      <w:lang w:eastAsia="en-US"/>
                    </w:rPr>
                    <m:t>t</m:t>
                  </m:r>
                </m:sup>
              </m:sSubSup>
            </m:den>
          </m:f>
          <m:d>
            <m:dPr>
              <m:begChr m:val="["/>
              <m:endChr m:val="]"/>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Fи</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nary>
                <m:naryPr>
                  <m:chr m:val="∑"/>
                  <m:limLoc m:val="undOvr"/>
                  <m:ctrlPr>
                    <w:rPr>
                      <w:rFonts w:ascii="Cambria Math" w:eastAsia="Calibri" w:hAnsi="Cambria Math"/>
                      <w:i/>
                      <w:sz w:val="22"/>
                      <w:szCs w:val="22"/>
                      <w:lang w:eastAsia="en-US"/>
                    </w:rPr>
                  </m:ctrlPr>
                </m:naryPr>
                <m:sub>
                  <m:r>
                    <w:rPr>
                      <w:rFonts w:ascii="Cambria Math" w:eastAsia="Calibri" w:hAnsi="Cambria Math"/>
                      <w:sz w:val="22"/>
                      <w:szCs w:val="22"/>
                      <w:lang w:eastAsia="en-US"/>
                    </w:rPr>
                    <m:t>i-1</m:t>
                  </m:r>
                </m:sub>
                <m:sup>
                  <m:r>
                    <w:rPr>
                      <w:rFonts w:ascii="Cambria Math" w:eastAsia="Calibri" w:hAnsi="Cambria Math"/>
                      <w:sz w:val="22"/>
                      <w:szCs w:val="22"/>
                      <w:lang w:eastAsia="en-US"/>
                    </w:rPr>
                    <m:t>t-1</m:t>
                  </m:r>
                </m:sup>
                <m:e>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m:t>
                      </m:r>
                    </m:sub>
                    <m:sup>
                      <m:r>
                        <w:rPr>
                          <w:rFonts w:ascii="Cambria Math" w:eastAsia="Calibri" w:hAnsi="Cambria Math"/>
                          <w:sz w:val="22"/>
                          <w:szCs w:val="22"/>
                          <w:lang w:eastAsia="en-US"/>
                        </w:rPr>
                        <m:t>i</m:t>
                      </m:r>
                    </m:sup>
                  </m:sSubSup>
                </m:e>
              </m:nary>
            </m:e>
          </m:d>
        </m:oMath>
      </m:oMathPara>
    </w:p>
    <w:p w14:paraId="6734234C"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 xml:space="preserve">где </w:t>
      </w:r>
    </w:p>
    <w:p w14:paraId="563B0CA6"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noProof/>
          <w:sz w:val="24"/>
          <w:szCs w:val="24"/>
          <w:lang w:val="en-US" w:eastAsia="en-US"/>
        </w:rPr>
        <w:drawing>
          <wp:inline distT="0" distB="0" distL="0" distR="0" wp14:anchorId="541AA8A3" wp14:editId="1DC45BCB">
            <wp:extent cx="247650" cy="247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611559">
        <w:rPr>
          <w:rFonts w:eastAsia="Calibri"/>
          <w:sz w:val="24"/>
          <w:szCs w:val="24"/>
          <w:lang w:eastAsia="en-US"/>
        </w:rPr>
        <w:t xml:space="preserve"> - введенные в разработку к середине t-го года начальные извлекаемые запасы жидкости;</w:t>
      </w:r>
    </w:p>
    <w:p w14:paraId="326127AE"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noProof/>
          <w:sz w:val="24"/>
          <w:szCs w:val="24"/>
          <w:lang w:val="en-US" w:eastAsia="en-US"/>
        </w:rPr>
        <w:drawing>
          <wp:inline distT="0" distB="0" distL="0" distR="0" wp14:anchorId="110247C7" wp14:editId="1F884648">
            <wp:extent cx="400050" cy="4286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428625"/>
                    </a:xfrm>
                    <a:prstGeom prst="rect">
                      <a:avLst/>
                    </a:prstGeom>
                    <a:noFill/>
                    <a:ln>
                      <a:noFill/>
                    </a:ln>
                  </pic:spPr>
                </pic:pic>
              </a:graphicData>
            </a:graphic>
          </wp:inline>
        </w:drawing>
      </w:r>
      <w:r w:rsidRPr="00611559">
        <w:rPr>
          <w:rFonts w:eastAsia="Calibri"/>
          <w:sz w:val="24"/>
          <w:szCs w:val="24"/>
          <w:lang w:eastAsia="en-US"/>
        </w:rPr>
        <w:t xml:space="preserve"> - суммарный расчетный отбор жидкости за все предыдущие годы;</w:t>
      </w:r>
    </w:p>
    <w:p w14:paraId="543BFCDA" w14:textId="77777777" w:rsidR="00611559" w:rsidRPr="00611559" w:rsidRDefault="00611559" w:rsidP="00611559">
      <w:pPr>
        <w:widowControl w:val="0"/>
        <w:spacing w:line="360" w:lineRule="auto"/>
        <w:ind w:firstLine="709"/>
        <w:jc w:val="both"/>
        <w:rPr>
          <w:rFonts w:eastAsia="Calibri"/>
          <w:i/>
          <w:sz w:val="24"/>
          <w:szCs w:val="24"/>
          <w:lang w:eastAsia="en-US"/>
        </w:rPr>
      </w:pPr>
      <w:r w:rsidRPr="00611559">
        <w:rPr>
          <w:rFonts w:eastAsia="Calibri"/>
          <w:i/>
          <w:sz w:val="24"/>
          <w:szCs w:val="24"/>
          <w:lang w:eastAsia="en-US"/>
        </w:rPr>
        <w:t>Извлекаемые запасы жидкости определяются по формуле:</w:t>
      </w:r>
    </w:p>
    <w:p w14:paraId="1C600B58"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Fи</m:t>
              </m:r>
            </m:sub>
            <m:sup/>
          </m:sSubSup>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Q</m:t>
              </m:r>
            </m:e>
            <m:sub>
              <m:r>
                <w:rPr>
                  <w:rFonts w:ascii="Cambria Math" w:eastAsia="Calibri" w:hAnsi="Cambria Math"/>
                  <w:sz w:val="22"/>
                  <w:szCs w:val="22"/>
                  <w:lang w:eastAsia="en-US"/>
                </w:rPr>
                <m:t>и</m:t>
              </m:r>
            </m:sub>
          </m:sSub>
          <m:r>
            <w:rPr>
              <w:rFonts w:ascii="Cambria Math" w:eastAsia="Calibri" w:hAnsi="Cambria Math"/>
              <w:sz w:val="22"/>
              <w:szCs w:val="22"/>
              <w:lang w:eastAsia="en-US"/>
            </w:rPr>
            <m:t>∙</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F</m:t>
              </m:r>
            </m:num>
            <m:den>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m:t>
                  </m:r>
                </m:sub>
              </m:sSub>
            </m:den>
          </m:f>
        </m:oMath>
      </m:oMathPara>
    </w:p>
    <w:p w14:paraId="2B9FE1C6"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2FA52240"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lang w:val="en-US" w:eastAsia="en-US"/>
        </w:rPr>
        <w:t>F</w:t>
      </w:r>
      <w:r w:rsidRPr="00611559">
        <w:rPr>
          <w:rFonts w:eastAsia="Calibri"/>
          <w:i/>
          <w:sz w:val="24"/>
          <w:szCs w:val="24"/>
          <w:lang w:eastAsia="en-US"/>
        </w:rPr>
        <w:t xml:space="preserve"> </w:t>
      </w:r>
      <w:r w:rsidRPr="00611559">
        <w:rPr>
          <w:rFonts w:eastAsia="Calibri"/>
          <w:sz w:val="24"/>
          <w:szCs w:val="24"/>
          <w:lang w:eastAsia="en-US"/>
        </w:rPr>
        <w:t>– расчетный суммарный отбор жидкости, доли подвижных запасов нефти.</w:t>
      </w:r>
    </w:p>
    <w:p w14:paraId="6D1FC95D" w14:textId="77777777" w:rsidR="00611559" w:rsidRPr="00611559" w:rsidRDefault="00611559" w:rsidP="00611559">
      <w:pPr>
        <w:widowControl w:val="0"/>
        <w:spacing w:line="360" w:lineRule="auto"/>
        <w:ind w:firstLine="709"/>
        <w:jc w:val="both"/>
        <w:rPr>
          <w:rFonts w:eastAsia="Calibri"/>
          <w:i/>
          <w:sz w:val="24"/>
          <w:szCs w:val="24"/>
          <w:lang w:eastAsia="en-US"/>
        </w:rPr>
      </w:pPr>
      <m:oMathPara>
        <m:oMath>
          <m:r>
            <w:rPr>
              <w:rFonts w:ascii="Cambria Math" w:eastAsia="Calibri" w:hAnsi="Cambria Math"/>
              <w:sz w:val="22"/>
              <w:szCs w:val="22"/>
              <w:lang w:val="en-US" w:eastAsia="en-US"/>
            </w:rPr>
            <m:t>F</m:t>
          </m:r>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3н</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3к</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K</m:t>
              </m:r>
            </m:e>
            <m:sub>
              <m:r>
                <w:rPr>
                  <w:rFonts w:ascii="Cambria Math" w:eastAsia="Calibri" w:hAnsi="Cambria Math"/>
                  <w:sz w:val="22"/>
                  <w:szCs w:val="22"/>
                  <w:lang w:eastAsia="en-US"/>
                </w:rPr>
                <m:t>3н</m:t>
              </m:r>
            </m:sub>
          </m:sSub>
          <m:r>
            <w:rPr>
              <w:rFonts w:ascii="Cambria Math" w:eastAsia="Calibri" w:hAnsi="Cambria Math"/>
              <w:sz w:val="22"/>
              <w:szCs w:val="22"/>
              <w:lang w:eastAsia="en-US"/>
            </w:rPr>
            <m:t>)∙</m:t>
          </m:r>
          <m:func>
            <m:funcPr>
              <m:ctrlPr>
                <w:rPr>
                  <w:rFonts w:ascii="Cambria Math" w:eastAsia="Calibri" w:hAnsi="Cambria Math"/>
                  <w:i/>
                  <w:sz w:val="22"/>
                  <w:szCs w:val="22"/>
                  <w:lang w:eastAsia="en-US"/>
                </w:rPr>
              </m:ctrlPr>
            </m:funcPr>
            <m:fName>
              <m:r>
                <m:rPr>
                  <m:sty m:val="p"/>
                </m:rPr>
                <w:rPr>
                  <w:rFonts w:ascii="Cambria Math" w:eastAsia="Calibri" w:hAnsi="Cambria Math"/>
                  <w:sz w:val="22"/>
                  <w:szCs w:val="22"/>
                  <w:lang w:eastAsia="en-US"/>
                </w:rPr>
                <m:t>ln</m:t>
              </m:r>
            </m:fName>
            <m:e>
              <m:f>
                <m:fPr>
                  <m:ctrlPr>
                    <w:rPr>
                      <w:rFonts w:ascii="Cambria Math" w:eastAsia="Calibri" w:hAnsi="Cambria Math"/>
                      <w:i/>
                      <w:sz w:val="22"/>
                      <w:szCs w:val="22"/>
                      <w:lang w:eastAsia="en-US"/>
                    </w:rPr>
                  </m:ctrlPr>
                </m:fPr>
                <m:num>
                  <m:r>
                    <w:rPr>
                      <w:rFonts w:ascii="Cambria Math" w:eastAsia="Calibri" w:hAnsi="Cambria Math"/>
                      <w:sz w:val="22"/>
                      <w:szCs w:val="22"/>
                      <w:lang w:eastAsia="en-US"/>
                    </w:rPr>
                    <m:t>1</m:t>
                  </m:r>
                </m:num>
                <m:den>
                  <m:r>
                    <w:rPr>
                      <w:rFonts w:ascii="Cambria Math" w:eastAsia="Calibri" w:hAnsi="Cambria Math"/>
                      <w:sz w:val="22"/>
                      <w:szCs w:val="22"/>
                      <w:lang w:eastAsia="en-US"/>
                    </w:rPr>
                    <m:t>1-A</m:t>
                  </m:r>
                </m:den>
              </m:f>
            </m:e>
          </m:func>
        </m:oMath>
      </m:oMathPara>
    </w:p>
    <w:p w14:paraId="777CE600"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i/>
          <w:sz w:val="24"/>
          <w:szCs w:val="24"/>
          <w:u w:val="single"/>
          <w:lang w:eastAsia="en-US"/>
        </w:rPr>
        <w:t>Объем закачки вытесняющего агента:</w:t>
      </w:r>
    </w:p>
    <w:p w14:paraId="0D907987" w14:textId="77777777" w:rsidR="00611559" w:rsidRPr="00611559" w:rsidRDefault="00512EFA" w:rsidP="00611559">
      <w:pPr>
        <w:widowControl w:val="0"/>
        <w:spacing w:line="360" w:lineRule="auto"/>
        <w:ind w:firstLine="709"/>
        <w:jc w:val="both"/>
        <w:rPr>
          <w:rFonts w:eastAsia="Calibri"/>
          <w:i/>
          <w:sz w:val="24"/>
          <w:szCs w:val="24"/>
          <w:lang w:eastAsia="en-US"/>
        </w:rPr>
      </w:pPr>
      <m:oMathPara>
        <m:oMath>
          <m:sSubSup>
            <m:sSubSupPr>
              <m:ctrlPr>
                <w:rPr>
                  <w:rFonts w:ascii="Cambria Math" w:eastAsia="Calibri" w:hAnsi="Cambria Math"/>
                  <w:i/>
                  <w:sz w:val="22"/>
                  <w:szCs w:val="22"/>
                  <w:lang w:val="en-US" w:eastAsia="en-US"/>
                </w:rPr>
              </m:ctrlPr>
            </m:sSubSupPr>
            <m:e>
              <m:r>
                <w:rPr>
                  <w:rFonts w:ascii="Cambria Math" w:eastAsia="Calibri" w:hAnsi="Cambria Math"/>
                  <w:sz w:val="22"/>
                  <w:szCs w:val="22"/>
                  <w:lang w:val="en-US" w:eastAsia="en-US"/>
                </w:rPr>
                <m:t>q</m:t>
              </m:r>
            </m:e>
            <m:sub>
              <m:r>
                <w:rPr>
                  <w:rFonts w:ascii="Cambria Math" w:eastAsia="Calibri" w:hAnsi="Cambria Math"/>
                  <w:sz w:val="22"/>
                  <w:szCs w:val="22"/>
                  <w:lang w:eastAsia="en-US"/>
                </w:rPr>
                <m:t>з</m:t>
              </m:r>
            </m:sub>
            <m:sup>
              <m:r>
                <w:rPr>
                  <w:rFonts w:ascii="Cambria Math" w:eastAsia="Calibri" w:hAnsi="Cambria Math"/>
                  <w:sz w:val="22"/>
                  <w:szCs w:val="22"/>
                  <w:lang w:val="en-US" w:eastAsia="en-US"/>
                </w:rPr>
                <m:t>t</m:t>
              </m:r>
            </m:sup>
          </m:sSubSup>
          <m:r>
            <w:rPr>
              <w:rFonts w:ascii="Cambria Math" w:eastAsia="Calibri" w:hAnsi="Cambria Math"/>
              <w:sz w:val="22"/>
              <w:szCs w:val="22"/>
              <w:lang w:eastAsia="en-US"/>
            </w:rPr>
            <m:t xml:space="preserve">= </m:t>
          </m:r>
          <m:d>
            <m:dPr>
              <m:begChr m:val="["/>
              <m:endChr m:val="]"/>
              <m:ctrlPr>
                <w:rPr>
                  <w:rFonts w:ascii="Cambria Math" w:eastAsia="Calibri" w:hAnsi="Cambria Math"/>
                  <w:i/>
                  <w:sz w:val="22"/>
                  <w:szCs w:val="22"/>
                  <w:lang w:eastAsia="en-US"/>
                </w:rPr>
              </m:ctrlPr>
            </m:dPr>
            <m:e>
              <m:sSup>
                <m:sSupPr>
                  <m:ctrlPr>
                    <w:rPr>
                      <w:rFonts w:ascii="Cambria Math" w:eastAsia="Calibri" w:hAnsi="Cambria Math"/>
                      <w:i/>
                      <w:sz w:val="22"/>
                      <w:szCs w:val="22"/>
                      <w:lang w:eastAsia="en-US"/>
                    </w:rPr>
                  </m:ctrlPr>
                </m:sSupPr>
                <m:e>
                  <m:r>
                    <w:rPr>
                      <w:rFonts w:ascii="Cambria Math" w:eastAsia="Calibri" w:hAnsi="Cambria Math"/>
                      <w:sz w:val="22"/>
                      <w:szCs w:val="22"/>
                      <w:lang w:val="en-US" w:eastAsia="en-US"/>
                    </w:rPr>
                    <m:t>q</m:t>
                  </m:r>
                </m:e>
                <m:sup>
                  <m:r>
                    <w:rPr>
                      <w:rFonts w:ascii="Cambria Math" w:eastAsia="Calibri" w:hAnsi="Cambria Math"/>
                      <w:sz w:val="22"/>
                      <w:szCs w:val="22"/>
                      <w:lang w:eastAsia="en-US"/>
                    </w:rPr>
                    <m:t>t</m:t>
                  </m:r>
                </m:sup>
              </m:sSup>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m:t>
                  </m:r>
                </m:sub>
              </m:sSub>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Calibri" w:hAnsi="Cambria Math"/>
                          <w:sz w:val="22"/>
                          <w:szCs w:val="22"/>
                          <w:lang w:eastAsia="en-US"/>
                        </w:rPr>
                        <m:t>q</m:t>
                      </m:r>
                    </m:e>
                    <m:sub>
                      <m:r>
                        <w:rPr>
                          <w:rFonts w:ascii="Cambria Math" w:eastAsia="Calibri" w:hAnsi="Cambria Math"/>
                          <w:sz w:val="22"/>
                          <w:szCs w:val="22"/>
                          <w:lang w:eastAsia="en-US"/>
                        </w:rPr>
                        <m:t>F</m:t>
                      </m:r>
                    </m:sub>
                    <m:sup>
                      <m:r>
                        <w:rPr>
                          <w:rFonts w:ascii="Cambria Math" w:eastAsia="Calibri" w:hAnsi="Cambria Math"/>
                          <w:sz w:val="22"/>
                          <w:szCs w:val="22"/>
                          <w:lang w:eastAsia="en-US"/>
                        </w:rPr>
                        <m:t>t</m:t>
                      </m:r>
                    </m:sup>
                  </m:sSubSup>
                  <m:r>
                    <w:rPr>
                      <w:rFonts w:ascii="Cambria Math" w:eastAsia="Calibri" w:hAnsi="Cambria Math"/>
                      <w:sz w:val="22"/>
                      <w:szCs w:val="22"/>
                      <w:lang w:eastAsia="en-US"/>
                    </w:rPr>
                    <m:t>-</m:t>
                  </m:r>
                  <m:sSup>
                    <m:sSupPr>
                      <m:ctrlPr>
                        <w:rPr>
                          <w:rFonts w:ascii="Cambria Math" w:eastAsia="Calibri" w:hAnsi="Cambria Math"/>
                          <w:i/>
                          <w:sz w:val="22"/>
                          <w:szCs w:val="22"/>
                          <w:lang w:eastAsia="en-US"/>
                        </w:rPr>
                      </m:ctrlPr>
                    </m:sSupPr>
                    <m:e>
                      <m:r>
                        <w:rPr>
                          <w:rFonts w:ascii="Cambria Math" w:eastAsia="Calibri" w:hAnsi="Cambria Math"/>
                          <w:sz w:val="22"/>
                          <w:szCs w:val="22"/>
                          <w:lang w:val="en-US" w:eastAsia="en-US"/>
                        </w:rPr>
                        <m:t>q</m:t>
                      </m:r>
                    </m:e>
                    <m:sup>
                      <m:r>
                        <w:rPr>
                          <w:rFonts w:ascii="Cambria Math" w:eastAsia="Calibri" w:hAnsi="Cambria Math"/>
                          <w:sz w:val="22"/>
                          <w:szCs w:val="22"/>
                          <w:lang w:eastAsia="en-US"/>
                        </w:rPr>
                        <m:t>t</m:t>
                      </m:r>
                    </m:sup>
                  </m:sSup>
                </m:e>
              </m:d>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μ</m:t>
                  </m:r>
                </m:e>
                <m:sub>
                  <m:r>
                    <w:rPr>
                      <w:rFonts w:ascii="Cambria Math" w:eastAsia="Calibri" w:hAnsi="Cambria Math"/>
                      <w:sz w:val="22"/>
                      <w:szCs w:val="22"/>
                      <w:lang w:eastAsia="en-US"/>
                    </w:rPr>
                    <m:t>0</m:t>
                  </m:r>
                </m:sub>
              </m:sSub>
            </m:e>
          </m:d>
          <m:r>
            <w:rPr>
              <w:rFonts w:ascii="Cambria Math" w:eastAsia="Calibri" w:hAnsi="Cambria Math"/>
              <w:sz w:val="22"/>
              <w:szCs w:val="22"/>
              <w:lang w:eastAsia="en-US"/>
            </w:rPr>
            <m:t>∙</m:t>
          </m:r>
          <m:d>
            <m:dPr>
              <m:ctrlPr>
                <w:rPr>
                  <w:rFonts w:ascii="Cambria Math" w:eastAsia="Calibri" w:hAnsi="Cambria Math"/>
                  <w:i/>
                  <w:sz w:val="22"/>
                  <w:szCs w:val="22"/>
                  <w:lang w:eastAsia="en-US"/>
                </w:rPr>
              </m:ctrlPr>
            </m:dPr>
            <m:e>
              <m:r>
                <w:rPr>
                  <w:rFonts w:ascii="Cambria Math" w:eastAsia="Calibri" w:hAnsi="Cambria Math"/>
                  <w:sz w:val="22"/>
                  <w:szCs w:val="22"/>
                  <w:lang w:eastAsia="en-US"/>
                </w:rPr>
                <m:t>1+</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ε</m:t>
                  </m:r>
                </m:e>
                <m:sub>
                  <m:r>
                    <w:rPr>
                      <w:rFonts w:ascii="Cambria Math" w:eastAsia="Calibri" w:hAnsi="Cambria Math"/>
                      <w:sz w:val="22"/>
                      <w:szCs w:val="22"/>
                      <w:lang w:eastAsia="en-US"/>
                    </w:rPr>
                    <m:t>з</m:t>
                  </m:r>
                </m:sub>
              </m:sSub>
            </m:e>
          </m:d>
        </m:oMath>
      </m:oMathPara>
    </w:p>
    <w:p w14:paraId="7A92D654" w14:textId="77777777" w:rsidR="00611559" w:rsidRPr="00611559" w:rsidRDefault="00611559" w:rsidP="00611559">
      <w:pPr>
        <w:widowControl w:val="0"/>
        <w:spacing w:line="360" w:lineRule="auto"/>
        <w:ind w:firstLine="709"/>
        <w:jc w:val="both"/>
        <w:rPr>
          <w:rFonts w:eastAsia="Calibri"/>
          <w:sz w:val="24"/>
          <w:szCs w:val="24"/>
          <w:lang w:eastAsia="en-US"/>
        </w:rPr>
      </w:pPr>
      <w:r w:rsidRPr="00611559">
        <w:rPr>
          <w:rFonts w:eastAsia="Calibri"/>
          <w:sz w:val="24"/>
          <w:szCs w:val="24"/>
          <w:lang w:eastAsia="en-US"/>
        </w:rPr>
        <w:t>где</w:t>
      </w:r>
    </w:p>
    <w:p w14:paraId="6E354DBF"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ρ</m:t>
            </m:r>
          </m:e>
          <m:sub>
            <m:r>
              <w:rPr>
                <w:rFonts w:ascii="Cambria Math" w:eastAsia="Calibri" w:hAnsi="Cambria Math"/>
                <w:sz w:val="22"/>
                <w:szCs w:val="22"/>
                <w:lang w:eastAsia="en-US"/>
              </w:rPr>
              <m:t>*</m:t>
            </m:r>
          </m:sub>
        </m:sSub>
      </m:oMath>
      <w:r w:rsidR="00611559" w:rsidRPr="00611559">
        <w:rPr>
          <w:rFonts w:eastAsia="Calibri"/>
          <w:sz w:val="24"/>
          <w:szCs w:val="24"/>
          <w:lang w:eastAsia="en-US"/>
        </w:rPr>
        <w:t xml:space="preserve"> - соотношение плотностей закачиваемого агента к нефти в пластовых условиях;</w:t>
      </w:r>
    </w:p>
    <w:p w14:paraId="0DF494B2" w14:textId="77777777" w:rsidR="00611559" w:rsidRPr="00611559" w:rsidRDefault="00512EFA" w:rsidP="00611559">
      <w:pPr>
        <w:widowControl w:val="0"/>
        <w:spacing w:line="360" w:lineRule="auto"/>
        <w:ind w:firstLine="709"/>
        <w:jc w:val="both"/>
        <w:rPr>
          <w:rFonts w:eastAsia="Calibri"/>
          <w:sz w:val="24"/>
          <w:szCs w:val="24"/>
          <w:lang w:eastAsia="en-US"/>
        </w:rPr>
      </w:pPr>
      <m:oMath>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ε</m:t>
            </m:r>
          </m:e>
          <m:sub>
            <m:r>
              <w:rPr>
                <w:rFonts w:ascii="Cambria Math" w:eastAsia="Calibri" w:hAnsi="Cambria Math"/>
                <w:sz w:val="22"/>
                <w:szCs w:val="22"/>
                <w:lang w:eastAsia="en-US"/>
              </w:rPr>
              <m:t>з</m:t>
            </m:r>
          </m:sub>
        </m:sSub>
      </m:oMath>
      <w:r w:rsidR="00611559" w:rsidRPr="00611559">
        <w:rPr>
          <w:rFonts w:eastAsia="Calibri"/>
          <w:sz w:val="24"/>
          <w:szCs w:val="24"/>
          <w:lang w:eastAsia="en-US"/>
        </w:rPr>
        <w:t xml:space="preserve"> - теряемая доля закачиваемого агента.</w:t>
      </w:r>
    </w:p>
    <w:p w14:paraId="6858F627" w14:textId="60847B5B" w:rsidR="0068456A" w:rsidRDefault="00611559" w:rsidP="00924EDD">
      <w:pPr>
        <w:widowControl w:val="0"/>
        <w:spacing w:line="360" w:lineRule="auto"/>
        <w:ind w:firstLine="709"/>
        <w:jc w:val="both"/>
        <w:rPr>
          <w:rFonts w:eastAsia="Calibri"/>
          <w:sz w:val="24"/>
          <w:szCs w:val="24"/>
          <w:lang w:eastAsia="en-US"/>
        </w:rPr>
      </w:pPr>
      <w:r w:rsidRPr="00611559">
        <w:rPr>
          <w:rFonts w:eastAsia="Calibri"/>
          <w:sz w:val="24"/>
          <w:szCs w:val="24"/>
          <w:lang w:eastAsia="en-US"/>
        </w:rPr>
        <w:t>В таблице 3.</w:t>
      </w:r>
      <w:r w:rsidR="00E26E28">
        <w:rPr>
          <w:rFonts w:eastAsia="Calibri"/>
          <w:sz w:val="24"/>
          <w:szCs w:val="24"/>
          <w:lang w:eastAsia="en-US"/>
        </w:rPr>
        <w:t>4</w:t>
      </w:r>
      <w:r>
        <w:rPr>
          <w:rFonts w:eastAsia="Calibri"/>
          <w:sz w:val="24"/>
          <w:szCs w:val="24"/>
          <w:lang w:eastAsia="en-US"/>
        </w:rPr>
        <w:t>.4</w:t>
      </w:r>
      <w:r w:rsidRPr="00611559">
        <w:rPr>
          <w:rFonts w:eastAsia="Calibri"/>
          <w:sz w:val="24"/>
          <w:szCs w:val="24"/>
          <w:lang w:eastAsia="en-US"/>
        </w:rPr>
        <w:t xml:space="preserve"> представлены основные исходные характеристики расчётных вариантов разработки. Следует отметить, что коэффициент надежности К</w:t>
      </w:r>
      <w:r w:rsidRPr="00611559">
        <w:rPr>
          <w:rFonts w:eastAsia="Calibri"/>
          <w:sz w:val="24"/>
          <w:szCs w:val="24"/>
          <w:vertAlign w:val="subscript"/>
          <w:lang w:eastAsia="en-US"/>
        </w:rPr>
        <w:t xml:space="preserve">4 </w:t>
      </w:r>
      <w:r w:rsidRPr="00611559">
        <w:rPr>
          <w:rFonts w:eastAsia="Calibri"/>
          <w:sz w:val="24"/>
          <w:szCs w:val="24"/>
          <w:lang w:eastAsia="en-US"/>
        </w:rPr>
        <w:t>в данных расчетах имеет переменный характер, так как он прямо пропорционален текущему годовому темпу отбора извлекаемых запасов и, соответственно, коэффициенты извлечения, как по нефти, так и по жидкости, в прогнозный период будут изменяться.</w:t>
      </w:r>
    </w:p>
    <w:p w14:paraId="447C2475" w14:textId="51F2BD67" w:rsidR="00891237" w:rsidRPr="00891237" w:rsidRDefault="00891237" w:rsidP="005713FF">
      <w:pPr>
        <w:spacing w:before="120" w:line="360" w:lineRule="auto"/>
        <w:jc w:val="both"/>
        <w:rPr>
          <w:b/>
          <w:bCs/>
          <w:i/>
          <w:iCs/>
          <w:sz w:val="24"/>
        </w:rPr>
      </w:pPr>
      <w:r w:rsidRPr="00891237">
        <w:rPr>
          <w:b/>
          <w:bCs/>
          <w:i/>
          <w:iCs/>
          <w:sz w:val="24"/>
        </w:rPr>
        <w:t>3.</w:t>
      </w:r>
      <w:r w:rsidR="00E26E28">
        <w:rPr>
          <w:b/>
          <w:bCs/>
          <w:i/>
          <w:iCs/>
          <w:sz w:val="24"/>
        </w:rPr>
        <w:t>4</w:t>
      </w:r>
      <w:r w:rsidRPr="00891237">
        <w:rPr>
          <w:b/>
          <w:bCs/>
          <w:i/>
          <w:iCs/>
          <w:sz w:val="24"/>
        </w:rPr>
        <w:t>.5 Обоснование охвата процессом вытеснения, количества резервных скважин</w:t>
      </w:r>
    </w:p>
    <w:bookmarkEnd w:id="1"/>
    <w:p w14:paraId="6B923120" w14:textId="77777777" w:rsidR="00891237" w:rsidRPr="00FB7747" w:rsidRDefault="00891237" w:rsidP="00891237">
      <w:pPr>
        <w:pStyle w:val="a3"/>
        <w:rPr>
          <w:i/>
        </w:rPr>
      </w:pPr>
      <w:r w:rsidRPr="00FB7747">
        <w:rPr>
          <w:i/>
        </w:rPr>
        <w:t xml:space="preserve">Обоснование охвата процессом вытеснения </w:t>
      </w:r>
    </w:p>
    <w:p w14:paraId="62737D07" w14:textId="77777777" w:rsidR="00891237" w:rsidRPr="00634A58" w:rsidRDefault="00891237" w:rsidP="00891237">
      <w:pPr>
        <w:pStyle w:val="a3"/>
      </w:pPr>
      <w:r w:rsidRPr="00634A58">
        <w:t>Под коэффициентом охвата процессом вытеснения понимается отношение порового объема пласта, охваченного процессом вытеснения, ко всему поровому объему пласта.</w:t>
      </w:r>
    </w:p>
    <w:p w14:paraId="03905EAC" w14:textId="77777777" w:rsidR="00891237" w:rsidRPr="00634A58" w:rsidRDefault="00891237" w:rsidP="00891237">
      <w:pPr>
        <w:pStyle w:val="a3"/>
      </w:pPr>
      <w:r w:rsidRPr="00634A58">
        <w:t>Для расчета составляющих коэффициента охвата процессом вытеснения использовались следующие формулы:</w:t>
      </w:r>
    </w:p>
    <w:tbl>
      <w:tblPr>
        <w:tblW w:w="0" w:type="auto"/>
        <w:tblInd w:w="108" w:type="dxa"/>
        <w:tblBorders>
          <w:insideH w:val="single" w:sz="4" w:space="0" w:color="auto"/>
        </w:tblBorders>
        <w:tblLook w:val="01E0" w:firstRow="1" w:lastRow="1" w:firstColumn="1" w:lastColumn="1" w:noHBand="0" w:noVBand="0"/>
      </w:tblPr>
      <w:tblGrid>
        <w:gridCol w:w="9247"/>
      </w:tblGrid>
      <w:tr w:rsidR="00891237" w:rsidRPr="00634A58" w14:paraId="30F89C84" w14:textId="77777777" w:rsidTr="00CA1ECE">
        <w:trPr>
          <w:trHeight w:val="864"/>
        </w:trPr>
        <w:tc>
          <w:tcPr>
            <w:tcW w:w="9350" w:type="dxa"/>
            <w:shd w:val="clear" w:color="auto" w:fill="auto"/>
            <w:vAlign w:val="center"/>
          </w:tcPr>
          <w:p w14:paraId="548C99E4" w14:textId="19CDCE90" w:rsidR="00891237" w:rsidRPr="00634A58" w:rsidRDefault="00891237" w:rsidP="00CA1ECE">
            <w:pPr>
              <w:pStyle w:val="a3"/>
              <w:ind w:firstLine="0"/>
              <w:rPr>
                <w:b/>
                <w:lang w:val="en-US"/>
              </w:rPr>
            </w:pPr>
            <w:r w:rsidRPr="00634A58">
              <w:rPr>
                <w:b/>
              </w:rPr>
              <w:t xml:space="preserve">                                                                        </w:t>
            </w:r>
            <w:r w:rsidRPr="00634A58">
              <w:rPr>
                <w:b/>
                <w:position w:val="-10"/>
                <w:lang w:val="en-US"/>
              </w:rPr>
              <w:object w:dxaOrig="1120" w:dyaOrig="360" w14:anchorId="52339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2" o:title=""/>
                </v:shape>
                <o:OLEObject Type="Embed" ProgID="Equation.3" ShapeID="_x0000_i1025" DrawAspect="Content" ObjectID="_1791965952" r:id="rId13"/>
              </w:object>
            </w:r>
            <w:r w:rsidRPr="00634A58">
              <w:rPr>
                <w:b/>
              </w:rPr>
              <w:t xml:space="preserve">,                                                   </w:t>
            </w:r>
          </w:p>
        </w:tc>
      </w:tr>
    </w:tbl>
    <w:p w14:paraId="4C9941E1" w14:textId="77777777" w:rsidR="00891237" w:rsidRPr="00634A58" w:rsidRDefault="00891237" w:rsidP="00891237">
      <w:pPr>
        <w:pStyle w:val="a3"/>
      </w:pPr>
      <w:r w:rsidRPr="00634A58">
        <w:lastRenderedPageBreak/>
        <w:t xml:space="preserve">где </w:t>
      </w:r>
      <w:r w:rsidRPr="00634A58">
        <w:rPr>
          <w:position w:val="-10"/>
        </w:rPr>
        <w:object w:dxaOrig="240" w:dyaOrig="360" w14:anchorId="21604A6F">
          <v:shape id="_x0000_i1026" type="#_x0000_t75" style="width:14.25pt;height:21.75pt" o:ole="">
            <v:imagedata r:id="rId14" o:title=""/>
          </v:shape>
          <o:OLEObject Type="Embed" ProgID="Equation.3" ShapeID="_x0000_i1026" DrawAspect="Content" ObjectID="_1791965953" r:id="rId15"/>
        </w:object>
      </w:r>
      <w:r w:rsidRPr="00634A58">
        <w:t xml:space="preserve"> – коэффициент, показывающий возможную долю разбуривания и ввода в промышленную разработку разведанных геологических запасов водонефтяных зон. Часть геологических запасов нефти</w:t>
      </w:r>
      <w:r>
        <w:t>,</w:t>
      </w:r>
      <w:r w:rsidRPr="00634A58">
        <w:t xml:space="preserve"> расположенных в зонах залежи с малой эффективной </w:t>
      </w:r>
      <w:r>
        <w:t>толщиной,</w:t>
      </w:r>
      <w:r w:rsidRPr="00634A58">
        <w:t xml:space="preserve"> меньше некоторой минимальной </w:t>
      </w:r>
      <w:r w:rsidRPr="00634A58">
        <w:rPr>
          <w:position w:val="-34"/>
        </w:rPr>
        <w:object w:dxaOrig="880" w:dyaOrig="800" w14:anchorId="061458FF">
          <v:shape id="_x0000_i1027" type="#_x0000_t75" style="width:44.25pt;height:44.25pt" o:ole="">
            <v:imagedata r:id="rId16" o:title=""/>
          </v:shape>
          <o:OLEObject Type="Embed" ProgID="Equation.3" ShapeID="_x0000_i1027" DrawAspect="Content" ObjectID="_1791965954" r:id="rId17"/>
        </w:object>
      </w:r>
      <w:r w:rsidRPr="00634A58">
        <w:t xml:space="preserve">, установленной по соображениям экономического характера, не будет разбурена и введена в разработку: </w:t>
      </w:r>
    </w:p>
    <w:tbl>
      <w:tblPr>
        <w:tblW w:w="0" w:type="auto"/>
        <w:tblInd w:w="108" w:type="dxa"/>
        <w:tblBorders>
          <w:insideH w:val="single" w:sz="4" w:space="0" w:color="auto"/>
        </w:tblBorders>
        <w:tblLook w:val="01E0" w:firstRow="1" w:lastRow="1" w:firstColumn="1" w:lastColumn="1" w:noHBand="0" w:noVBand="0"/>
      </w:tblPr>
      <w:tblGrid>
        <w:gridCol w:w="9247"/>
      </w:tblGrid>
      <w:tr w:rsidR="00891237" w:rsidRPr="00634A58" w14:paraId="2C5ABBA6" w14:textId="77777777" w:rsidTr="00CA1ECE">
        <w:tc>
          <w:tcPr>
            <w:tcW w:w="9350" w:type="dxa"/>
            <w:shd w:val="clear" w:color="auto" w:fill="auto"/>
            <w:vAlign w:val="center"/>
          </w:tcPr>
          <w:p w14:paraId="2E812AFB" w14:textId="3FC9AF56" w:rsidR="00891237" w:rsidRPr="00634A58" w:rsidRDefault="00891237" w:rsidP="00CA1ECE">
            <w:pPr>
              <w:pStyle w:val="a3"/>
              <w:ind w:firstLine="0"/>
              <w:rPr>
                <w:b/>
              </w:rPr>
            </w:pPr>
            <w:r w:rsidRPr="00634A58">
              <w:rPr>
                <w:b/>
              </w:rPr>
              <w:t xml:space="preserve">                                                  </w:t>
            </w:r>
            <w:r w:rsidR="00287AF3" w:rsidRPr="00634A58">
              <w:rPr>
                <w:b/>
                <w:position w:val="-34"/>
              </w:rPr>
              <w:object w:dxaOrig="1820" w:dyaOrig="859" w14:anchorId="55A6EBDA">
                <v:shape id="_x0000_i1028" type="#_x0000_t75" style="width:93pt;height:44.25pt" o:ole="">
                  <v:imagedata r:id="rId18" o:title=""/>
                </v:shape>
                <o:OLEObject Type="Embed" ProgID="Equation.3" ShapeID="_x0000_i1028" DrawAspect="Content" ObjectID="_1791965955" r:id="rId19"/>
              </w:object>
            </w:r>
            <w:r w:rsidRPr="00634A58">
              <w:rPr>
                <w:b/>
              </w:rPr>
              <w:t xml:space="preserve">                                                             </w:t>
            </w:r>
          </w:p>
        </w:tc>
      </w:tr>
    </w:tbl>
    <w:p w14:paraId="2FDD8854" w14:textId="77777777" w:rsidR="00891237" w:rsidRPr="00634A58" w:rsidRDefault="00891237" w:rsidP="00891237">
      <w:pPr>
        <w:pStyle w:val="a3"/>
      </w:pPr>
    </w:p>
    <w:tbl>
      <w:tblPr>
        <w:tblW w:w="0" w:type="auto"/>
        <w:tblInd w:w="108" w:type="dxa"/>
        <w:tblBorders>
          <w:insideH w:val="single" w:sz="4" w:space="0" w:color="auto"/>
        </w:tblBorders>
        <w:tblLook w:val="01E0" w:firstRow="1" w:lastRow="1" w:firstColumn="1" w:lastColumn="1" w:noHBand="0" w:noVBand="0"/>
      </w:tblPr>
      <w:tblGrid>
        <w:gridCol w:w="9247"/>
      </w:tblGrid>
      <w:tr w:rsidR="00891237" w:rsidRPr="00634A58" w14:paraId="4FE07FD0" w14:textId="77777777" w:rsidTr="00CA1ECE">
        <w:tc>
          <w:tcPr>
            <w:tcW w:w="9350" w:type="dxa"/>
            <w:shd w:val="clear" w:color="auto" w:fill="auto"/>
            <w:vAlign w:val="center"/>
          </w:tcPr>
          <w:p w14:paraId="60C3BAC2" w14:textId="74B5AA74" w:rsidR="00891237" w:rsidRPr="00634A58" w:rsidRDefault="00891237" w:rsidP="00CA1ECE">
            <w:pPr>
              <w:pStyle w:val="a3"/>
              <w:ind w:firstLine="0"/>
              <w:rPr>
                <w:b/>
              </w:rPr>
            </w:pPr>
            <w:r w:rsidRPr="00634A58">
              <w:rPr>
                <w:b/>
              </w:rPr>
              <w:t xml:space="preserve">                                                           </w:t>
            </w:r>
            <w:r w:rsidRPr="00634A58">
              <w:rPr>
                <w:b/>
                <w:position w:val="-68"/>
              </w:rPr>
              <w:object w:dxaOrig="3040" w:dyaOrig="1080" w14:anchorId="7FB2F364">
                <v:shape id="_x0000_i1029" type="#_x0000_t75" style="width:151.5pt;height:57.75pt" o:ole="">
                  <v:imagedata r:id="rId20" o:title=""/>
                </v:shape>
                <o:OLEObject Type="Embed" ProgID="Equation.3" ShapeID="_x0000_i1029" DrawAspect="Content" ObjectID="_1791965956" r:id="rId21"/>
              </w:object>
            </w:r>
            <w:r w:rsidRPr="00634A58">
              <w:rPr>
                <w:b/>
              </w:rPr>
              <w:t xml:space="preserve">     ,                            </w:t>
            </w:r>
          </w:p>
        </w:tc>
      </w:tr>
    </w:tbl>
    <w:p w14:paraId="72943882" w14:textId="77777777" w:rsidR="00891237" w:rsidRPr="00634A58" w:rsidRDefault="00891237" w:rsidP="00891237">
      <w:pPr>
        <w:pStyle w:val="a3"/>
      </w:pPr>
      <w:r w:rsidRPr="00634A58">
        <w:t xml:space="preserve">где </w:t>
      </w:r>
      <w:r w:rsidRPr="00634A58">
        <w:rPr>
          <w:i/>
        </w:rPr>
        <w:t>А</w:t>
      </w:r>
      <w:r w:rsidRPr="00634A58">
        <w:rPr>
          <w:i/>
          <w:vertAlign w:val="subscript"/>
        </w:rPr>
        <w:t>2</w:t>
      </w:r>
      <w:r w:rsidRPr="00634A58">
        <w:t xml:space="preserve"> – предельная весовая обводненность эксплуатационной скважины;</w:t>
      </w:r>
    </w:p>
    <w:p w14:paraId="3B48CD49" w14:textId="77777777" w:rsidR="00891237" w:rsidRPr="00634A58" w:rsidRDefault="00891237" w:rsidP="00891237">
      <w:pPr>
        <w:pStyle w:val="a3"/>
      </w:pPr>
      <w:r w:rsidRPr="00634A58">
        <w:rPr>
          <w:position w:val="-30"/>
        </w:rPr>
        <w:object w:dxaOrig="440" w:dyaOrig="700" w14:anchorId="0F30446F">
          <v:shape id="_x0000_i1030" type="#_x0000_t75" style="width:21.75pt;height:36pt" o:ole="">
            <v:imagedata r:id="rId22" o:title=""/>
          </v:shape>
          <o:OLEObject Type="Embed" ProgID="Equation.3" ShapeID="_x0000_i1030" DrawAspect="Content" ObjectID="_1791965957" r:id="rId23"/>
        </w:object>
      </w:r>
      <w:r w:rsidRPr="00634A58">
        <w:t xml:space="preserve"> – соотношение вязкостей воды и нефти в пластовых условиях;</w:t>
      </w:r>
    </w:p>
    <w:p w14:paraId="72F83F4F" w14:textId="77777777" w:rsidR="00891237" w:rsidRPr="00634A58" w:rsidRDefault="00891237" w:rsidP="00891237">
      <w:pPr>
        <w:pStyle w:val="a3"/>
      </w:pPr>
      <w:r w:rsidRPr="00634A58">
        <w:rPr>
          <w:position w:val="-30"/>
        </w:rPr>
        <w:object w:dxaOrig="400" w:dyaOrig="700" w14:anchorId="49BE089A">
          <v:shape id="_x0000_i1031" type="#_x0000_t75" style="width:21.75pt;height:36pt" o:ole="">
            <v:imagedata r:id="rId24" o:title=""/>
          </v:shape>
          <o:OLEObject Type="Embed" ProgID="Equation.3" ShapeID="_x0000_i1031" DrawAspect="Content" ObjectID="_1791965958" r:id="rId25"/>
        </w:object>
      </w:r>
      <w:r w:rsidRPr="00634A58">
        <w:t xml:space="preserve"> – соотношение удельных весов вытесняемой нефти и вытесняющей воды в пластовых условиях.</w:t>
      </w:r>
    </w:p>
    <w:p w14:paraId="38A1B914" w14:textId="77777777" w:rsidR="00891237" w:rsidRPr="00634A58" w:rsidRDefault="00891237" w:rsidP="00891237">
      <w:pPr>
        <w:pStyle w:val="a3"/>
      </w:pPr>
      <w:r w:rsidRPr="00634A58">
        <w:rPr>
          <w:position w:val="-10"/>
        </w:rPr>
        <w:object w:dxaOrig="260" w:dyaOrig="360" w14:anchorId="1A5CD137">
          <v:shape id="_x0000_i1032" type="#_x0000_t75" style="width:14.25pt;height:21.75pt" o:ole="">
            <v:imagedata r:id="rId26" o:title=""/>
          </v:shape>
          <o:OLEObject Type="Embed" ProgID="Equation.3" ShapeID="_x0000_i1032" DrawAspect="Content" ObjectID="_1791965959" r:id="rId27"/>
        </w:object>
      </w:r>
      <w:r w:rsidRPr="00634A58">
        <w:t>– коэффициент дренирования нефтяных пластов при данной сетке размещения нагнетательных и добывающих скважин, учитывающий хаотическую прерывистость пластов:</w:t>
      </w:r>
    </w:p>
    <w:p w14:paraId="2F460604" w14:textId="77777777" w:rsidR="00891237" w:rsidRPr="00634A58" w:rsidRDefault="00891237" w:rsidP="00891237">
      <w:pPr>
        <w:pStyle w:val="a3"/>
      </w:pPr>
    </w:p>
    <w:tbl>
      <w:tblPr>
        <w:tblW w:w="0" w:type="auto"/>
        <w:tblInd w:w="108" w:type="dxa"/>
        <w:tblBorders>
          <w:insideH w:val="single" w:sz="4" w:space="0" w:color="auto"/>
        </w:tblBorders>
        <w:tblLook w:val="01E0" w:firstRow="1" w:lastRow="1" w:firstColumn="1" w:lastColumn="1" w:noHBand="0" w:noVBand="0"/>
      </w:tblPr>
      <w:tblGrid>
        <w:gridCol w:w="9247"/>
      </w:tblGrid>
      <w:tr w:rsidR="00891237" w:rsidRPr="00634A58" w14:paraId="33AFE2E2" w14:textId="77777777" w:rsidTr="00CA1ECE">
        <w:tc>
          <w:tcPr>
            <w:tcW w:w="9350" w:type="dxa"/>
            <w:shd w:val="clear" w:color="auto" w:fill="auto"/>
            <w:vAlign w:val="center"/>
          </w:tcPr>
          <w:p w14:paraId="2C618173" w14:textId="78592637" w:rsidR="00891237" w:rsidRPr="00634A58" w:rsidRDefault="00891237" w:rsidP="00CA1ECE">
            <w:pPr>
              <w:pStyle w:val="a3"/>
              <w:ind w:firstLine="0"/>
              <w:jc w:val="center"/>
              <w:rPr>
                <w:b/>
              </w:rPr>
            </w:pPr>
            <w:r w:rsidRPr="00634A58">
              <w:rPr>
                <w:b/>
              </w:rPr>
              <w:t xml:space="preserve">                                               </w:t>
            </w:r>
            <w:r w:rsidRPr="00634A58">
              <w:rPr>
                <w:b/>
                <w:position w:val="-32"/>
              </w:rPr>
              <w:object w:dxaOrig="2340" w:dyaOrig="760" w14:anchorId="75D2F994">
                <v:shape id="_x0000_i1033" type="#_x0000_t75" style="width:117pt;height:36pt" o:ole="">
                  <v:imagedata r:id="rId28" o:title=""/>
                </v:shape>
                <o:OLEObject Type="Embed" ProgID="Equation.3" ShapeID="_x0000_i1033" DrawAspect="Content" ObjectID="_1791965960" r:id="rId29"/>
              </w:object>
            </w:r>
            <w:r w:rsidRPr="00634A58">
              <w:rPr>
                <w:b/>
              </w:rPr>
              <w:t xml:space="preserve">             ,                                </w:t>
            </w:r>
          </w:p>
        </w:tc>
      </w:tr>
    </w:tbl>
    <w:p w14:paraId="7D9FC43A" w14:textId="77777777" w:rsidR="00891237" w:rsidRPr="00634A58" w:rsidRDefault="00891237" w:rsidP="00891237">
      <w:pPr>
        <w:pStyle w:val="a3"/>
      </w:pPr>
      <w:r w:rsidRPr="00634A58">
        <w:t xml:space="preserve">где </w:t>
      </w:r>
      <w:proofErr w:type="spellStart"/>
      <w:r w:rsidRPr="00634A58">
        <w:rPr>
          <w:i/>
        </w:rPr>
        <w:t>m</w:t>
      </w:r>
      <w:r w:rsidRPr="00634A58">
        <w:rPr>
          <w:i/>
          <w:vertAlign w:val="subscript"/>
        </w:rPr>
        <w:t>p</w:t>
      </w:r>
      <w:proofErr w:type="spellEnd"/>
      <w:r w:rsidRPr="00634A58">
        <w:t xml:space="preserve"> – число эксплуатационных рядов, находящихся в полосе между двумя нагнетательными рядами. При площадной и избирательной системе заводнения, если соотношение добывающих и нагнетательных скважин </w:t>
      </w:r>
      <w:r w:rsidRPr="00634A58">
        <w:rPr>
          <w:i/>
        </w:rPr>
        <w:t>m</w:t>
      </w:r>
      <w:r w:rsidRPr="00634A58">
        <w:t xml:space="preserve"> ≤ 3, то </w:t>
      </w:r>
      <w:proofErr w:type="spellStart"/>
      <w:r w:rsidRPr="00634A58">
        <w:rPr>
          <w:i/>
        </w:rPr>
        <w:t>m</w:t>
      </w:r>
      <w:r w:rsidRPr="00634A58">
        <w:rPr>
          <w:i/>
          <w:vertAlign w:val="subscript"/>
        </w:rPr>
        <w:t>p</w:t>
      </w:r>
      <w:proofErr w:type="spellEnd"/>
      <w:r w:rsidRPr="00634A58">
        <w:t xml:space="preserve"> = 1;</w:t>
      </w:r>
    </w:p>
    <w:p w14:paraId="7537D3E3" w14:textId="77777777" w:rsidR="00891237" w:rsidRPr="00634A58" w:rsidRDefault="00891237" w:rsidP="00891237">
      <w:pPr>
        <w:pStyle w:val="a3"/>
      </w:pPr>
      <w:r w:rsidRPr="00634A58">
        <w:rPr>
          <w:i/>
        </w:rPr>
        <w:t>W</w:t>
      </w:r>
      <w:r w:rsidRPr="00634A58">
        <w:t xml:space="preserve"> – доля общей площади продуктивного пласта, занятая </w:t>
      </w:r>
      <w:proofErr w:type="spellStart"/>
      <w:r w:rsidRPr="00634A58">
        <w:t>неколлектором</w:t>
      </w:r>
      <w:proofErr w:type="spellEnd"/>
      <w:r w:rsidRPr="00634A58">
        <w:t xml:space="preserve">, при взаимном совершенно хаотическом размещении зон пласта-коллектора и зон пласта </w:t>
      </w:r>
      <w:proofErr w:type="spellStart"/>
      <w:r>
        <w:t>не</w:t>
      </w:r>
      <w:r w:rsidRPr="00634A58">
        <w:t>коллектора</w:t>
      </w:r>
      <w:proofErr w:type="spellEnd"/>
      <w:r w:rsidRPr="00634A58">
        <w:t>;</w:t>
      </w:r>
    </w:p>
    <w:p w14:paraId="79C89E2D" w14:textId="77777777" w:rsidR="00891237" w:rsidRPr="00634A58" w:rsidRDefault="00891237" w:rsidP="00891237">
      <w:pPr>
        <w:pStyle w:val="a3"/>
      </w:pPr>
      <w:r w:rsidRPr="00634A58">
        <w:rPr>
          <w:i/>
        </w:rPr>
        <w:t>d</w:t>
      </w:r>
      <w:r w:rsidRPr="00634A58">
        <w:t xml:space="preserve"> – линейный размер хаотического изменения коллекторских свойств пластов, км;</w:t>
      </w:r>
    </w:p>
    <w:p w14:paraId="20692826" w14:textId="77777777" w:rsidR="00891237" w:rsidRPr="00634A58" w:rsidRDefault="00891237" w:rsidP="00891237">
      <w:pPr>
        <w:pStyle w:val="a3"/>
      </w:pPr>
      <w:r w:rsidRPr="00634A58">
        <w:rPr>
          <w:i/>
        </w:rPr>
        <w:t>S</w:t>
      </w:r>
      <w:r w:rsidRPr="00634A58">
        <w:t xml:space="preserve"> – нефтеносная площадь залежи, приходящаяся на одну скважину, км</w:t>
      </w:r>
      <w:r w:rsidRPr="00634A58">
        <w:rPr>
          <w:vertAlign w:val="superscript"/>
        </w:rPr>
        <w:t>2</w:t>
      </w:r>
      <w:r w:rsidRPr="00634A58">
        <w:t>.</w:t>
      </w:r>
    </w:p>
    <w:p w14:paraId="7D3600C2" w14:textId="77777777" w:rsidR="00891237" w:rsidRPr="00634A58" w:rsidRDefault="00891237" w:rsidP="00891237">
      <w:pPr>
        <w:pStyle w:val="a3"/>
        <w:widowControl w:val="0"/>
      </w:pPr>
      <w:r w:rsidRPr="00634A58">
        <w:t xml:space="preserve">Под коэффициентом охвата процессом вытеснения понимается отношение порового </w:t>
      </w:r>
      <w:r w:rsidRPr="00634A58">
        <w:lastRenderedPageBreak/>
        <w:t>объема пласта, охваченного процессом фильтрации, ко всему поровому объему пласта:</w:t>
      </w:r>
    </w:p>
    <w:tbl>
      <w:tblPr>
        <w:tblW w:w="7423" w:type="dxa"/>
        <w:tblInd w:w="3628" w:type="dxa"/>
        <w:tblBorders>
          <w:insideH w:val="single" w:sz="4" w:space="0" w:color="auto"/>
        </w:tblBorders>
        <w:tblLook w:val="01E0" w:firstRow="1" w:lastRow="1" w:firstColumn="1" w:lastColumn="1" w:noHBand="0" w:noVBand="0"/>
      </w:tblPr>
      <w:tblGrid>
        <w:gridCol w:w="3630"/>
        <w:gridCol w:w="3793"/>
      </w:tblGrid>
      <w:tr w:rsidR="00891237" w:rsidRPr="00634A58" w14:paraId="357A5278" w14:textId="77777777" w:rsidTr="00CA1ECE">
        <w:tc>
          <w:tcPr>
            <w:tcW w:w="3630" w:type="dxa"/>
            <w:shd w:val="clear" w:color="auto" w:fill="auto"/>
            <w:vAlign w:val="center"/>
          </w:tcPr>
          <w:p w14:paraId="1BC81335" w14:textId="77777777" w:rsidR="00891237" w:rsidRPr="00634A58" w:rsidRDefault="00891237" w:rsidP="00CA1ECE">
            <w:pPr>
              <w:pStyle w:val="a3"/>
              <w:widowControl w:val="0"/>
              <w:ind w:firstLine="0"/>
              <w:rPr>
                <w:b/>
              </w:rPr>
            </w:pPr>
            <w:r w:rsidRPr="00634A58">
              <w:rPr>
                <w:b/>
                <w:position w:val="-10"/>
              </w:rPr>
              <w:object w:dxaOrig="2280" w:dyaOrig="360" w14:anchorId="39BD915C">
                <v:shape id="_x0000_i1034" type="#_x0000_t75" style="width:116.25pt;height:21.75pt" o:ole="">
                  <v:imagedata r:id="rId30" o:title=""/>
                </v:shape>
                <o:OLEObject Type="Embed" ProgID="Equation.3" ShapeID="_x0000_i1034" DrawAspect="Content" ObjectID="_1791965961" r:id="rId31"/>
              </w:object>
            </w:r>
            <w:r w:rsidRPr="00634A58">
              <w:rPr>
                <w:b/>
              </w:rPr>
              <w:t>,</w:t>
            </w:r>
          </w:p>
        </w:tc>
        <w:tc>
          <w:tcPr>
            <w:tcW w:w="3793" w:type="dxa"/>
            <w:shd w:val="clear" w:color="auto" w:fill="auto"/>
            <w:vAlign w:val="center"/>
          </w:tcPr>
          <w:p w14:paraId="65958E20" w14:textId="0F1BF269" w:rsidR="00891237" w:rsidRPr="00634A58" w:rsidRDefault="00891237" w:rsidP="00CA1ECE">
            <w:pPr>
              <w:pStyle w:val="a3"/>
              <w:widowControl w:val="0"/>
              <w:ind w:firstLine="0"/>
              <w:jc w:val="center"/>
              <w:rPr>
                <w:b/>
                <w:lang w:val="en-US"/>
              </w:rPr>
            </w:pPr>
          </w:p>
        </w:tc>
      </w:tr>
    </w:tbl>
    <w:p w14:paraId="7FEE14BD" w14:textId="77777777" w:rsidR="00891237" w:rsidRPr="00634A58" w:rsidRDefault="00891237" w:rsidP="00891237">
      <w:pPr>
        <w:pStyle w:val="a3"/>
        <w:widowControl w:val="0"/>
      </w:pPr>
      <w:r w:rsidRPr="00634A58">
        <w:rPr>
          <w:i/>
        </w:rPr>
        <w:t>k</w:t>
      </w:r>
      <w:r w:rsidRPr="00634A58">
        <w:rPr>
          <w:i/>
          <w:vertAlign w:val="subscript"/>
        </w:rPr>
        <w:t>2</w:t>
      </w:r>
      <w:r w:rsidRPr="00634A58">
        <w:t xml:space="preserve"> – коэффициент вытеснения, определяемый в лабораторных условиях на образцах керна при достаточно большой прокачке вытесняющего агента. Его величина зависит от различия физических свойств нефти и вытесняющего агента, проявляющегося в возникновении капиллярных сил на контакте нефти и агента, и от хаотической </w:t>
      </w:r>
      <w:proofErr w:type="spellStart"/>
      <w:r w:rsidRPr="00634A58">
        <w:t>микронеоднородности</w:t>
      </w:r>
      <w:proofErr w:type="spellEnd"/>
      <w:r w:rsidRPr="00634A58">
        <w:t xml:space="preserve"> пористой среды.</w:t>
      </w:r>
    </w:p>
    <w:p w14:paraId="6B9E8B2C" w14:textId="621ACD7A" w:rsidR="00891237" w:rsidRPr="00F73E78" w:rsidRDefault="00891237" w:rsidP="00891237">
      <w:pPr>
        <w:spacing w:line="360" w:lineRule="auto"/>
        <w:ind w:firstLine="737"/>
        <w:jc w:val="both"/>
        <w:rPr>
          <w:sz w:val="24"/>
          <w:szCs w:val="24"/>
        </w:rPr>
      </w:pPr>
      <w:r w:rsidRPr="00F73E78">
        <w:rPr>
          <w:sz w:val="24"/>
          <w:szCs w:val="24"/>
        </w:rPr>
        <w:t>Коэффициент вытеснения нефти водой</w:t>
      </w:r>
      <w:r w:rsidRPr="00F73E78">
        <w:rPr>
          <w:i/>
          <w:iCs/>
          <w:sz w:val="24"/>
          <w:szCs w:val="24"/>
        </w:rPr>
        <w:t xml:space="preserve"> </w:t>
      </w:r>
      <w:r w:rsidRPr="00F73E78">
        <w:rPr>
          <w:sz w:val="24"/>
          <w:szCs w:val="24"/>
        </w:rPr>
        <w:t xml:space="preserve">определяется по лабораторным исследованиям. </w:t>
      </w:r>
      <w:r w:rsidR="0068456A" w:rsidRPr="0068456A">
        <w:rPr>
          <w:sz w:val="24"/>
          <w:szCs w:val="24"/>
        </w:rPr>
        <w:t>Метод определения коэффициента вытеснения нефти водой предусматривает определение полноты извлечения нефти из модели пласта нефтесодержащей породы за счет фильтрации через нее воды до практически полного обводнения продукции. При этом условия вытеснения максимально приближаются с пластовым за счет использования модельных жидкостей с обязательным созданием и поддержанием пластовых давлений и температуры.</w:t>
      </w:r>
      <w:r w:rsidR="0068456A">
        <w:rPr>
          <w:sz w:val="24"/>
          <w:szCs w:val="24"/>
        </w:rPr>
        <w:t xml:space="preserve"> </w:t>
      </w:r>
      <w:r w:rsidR="0068456A" w:rsidRPr="0068456A">
        <w:rPr>
          <w:sz w:val="24"/>
          <w:szCs w:val="24"/>
        </w:rPr>
        <w:t xml:space="preserve">В соответствии с результатами экспериментов среднее значение коэффициента вытеснения нефти для юрских отложений составляет </w:t>
      </w:r>
      <w:r w:rsidR="003A28F7">
        <w:rPr>
          <w:sz w:val="24"/>
          <w:szCs w:val="24"/>
        </w:rPr>
        <w:t>68</w:t>
      </w:r>
      <w:r w:rsidR="0068456A" w:rsidRPr="0068456A">
        <w:rPr>
          <w:sz w:val="24"/>
          <w:szCs w:val="24"/>
        </w:rPr>
        <w:t>%.</w:t>
      </w:r>
    </w:p>
    <w:p w14:paraId="3C4E0235" w14:textId="77777777" w:rsidR="00891237" w:rsidRPr="003A28F7" w:rsidRDefault="00891237" w:rsidP="00891237">
      <w:pPr>
        <w:pStyle w:val="a3"/>
        <w:rPr>
          <w:b/>
          <w:i/>
          <w:color w:val="000000" w:themeColor="text1"/>
        </w:rPr>
      </w:pPr>
      <w:r w:rsidRPr="003A28F7">
        <w:rPr>
          <w:b/>
          <w:i/>
          <w:color w:val="000000" w:themeColor="text1"/>
        </w:rPr>
        <w:t>Обоснование количества резервных скважин</w:t>
      </w:r>
    </w:p>
    <w:p w14:paraId="4C78A1D6" w14:textId="2A641998" w:rsidR="00647D3C" w:rsidRPr="00090F61" w:rsidRDefault="00647D3C" w:rsidP="00306FF0">
      <w:pPr>
        <w:spacing w:line="360" w:lineRule="auto"/>
        <w:ind w:firstLine="737"/>
        <w:jc w:val="both"/>
        <w:rPr>
          <w:sz w:val="24"/>
          <w:szCs w:val="24"/>
        </w:rPr>
      </w:pPr>
      <w:r w:rsidRPr="00090F61">
        <w:rPr>
          <w:sz w:val="24"/>
          <w:szCs w:val="24"/>
        </w:rPr>
        <w:t>На месторождении во всех рассматриваемых вариантах, предусматривается фонд резервных скважин для вовлечения в разработку отдельных линз, зон выклинивания и застойных зон, которые не вовлекаются в разработку скважинами основного фонда в пределах их размещения. В рамках настоящего проекта разработки количество резервных скважин предусматривается в количестве 3 ед.</w:t>
      </w:r>
      <w:r w:rsidR="00090F61" w:rsidRPr="00090F61">
        <w:rPr>
          <w:sz w:val="24"/>
          <w:szCs w:val="24"/>
        </w:rPr>
        <w:t xml:space="preserve"> №№80, 81, 82</w:t>
      </w:r>
    </w:p>
    <w:p w14:paraId="0158F340" w14:textId="77777777" w:rsidR="00647D3C" w:rsidRDefault="00647D3C"/>
    <w:sectPr w:rsidR="00647D3C" w:rsidSect="00512EFA">
      <w:headerReference w:type="default" r:id="rId32"/>
      <w:footerReference w:type="default" r:id="rId33"/>
      <w:pgSz w:w="11906" w:h="16838"/>
      <w:pgMar w:top="1276" w:right="850" w:bottom="1134" w:left="1701" w:header="851"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454E" w14:textId="77777777" w:rsidR="00B41BC6" w:rsidRDefault="00B41BC6" w:rsidP="00891237">
      <w:r>
        <w:separator/>
      </w:r>
    </w:p>
  </w:endnote>
  <w:endnote w:type="continuationSeparator" w:id="0">
    <w:p w14:paraId="3C0567DF" w14:textId="77777777" w:rsidR="00B41BC6" w:rsidRDefault="00B41BC6" w:rsidP="0089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718D" w14:textId="76BA9F46" w:rsidR="00891237" w:rsidRPr="00891237" w:rsidRDefault="00891237" w:rsidP="00891237">
    <w:pPr>
      <w:pStyle w:val="a7"/>
      <w:pBdr>
        <w:top w:val="single" w:sz="4" w:space="1" w:color="auto"/>
      </w:pBdr>
      <w:jc w:val="both"/>
      <w:rPr>
        <w:sz w:val="14"/>
        <w:szCs w:val="14"/>
      </w:rPr>
    </w:pPr>
    <w:r>
      <w:ptab w:relativeTo="margin" w:alignment="left" w:leader="none"/>
    </w:r>
    <w:r w:rsidR="00E8639C">
      <w:rPr>
        <w:sz w:val="14"/>
        <w:szCs w:val="14"/>
      </w:rPr>
      <w:t>ДОПОЛНЕНИЕ К ПРОЕК</w:t>
    </w:r>
    <w:r>
      <w:rPr>
        <w:sz w:val="14"/>
        <w:szCs w:val="14"/>
      </w:rPr>
      <w:t>Т</w:t>
    </w:r>
    <w:r w:rsidR="00E8639C">
      <w:rPr>
        <w:sz w:val="14"/>
        <w:szCs w:val="14"/>
      </w:rPr>
      <w:t>У</w:t>
    </w:r>
    <w:r w:rsidRPr="00712C27">
      <w:rPr>
        <w:sz w:val="14"/>
        <w:szCs w:val="14"/>
      </w:rPr>
      <w:t xml:space="preserve"> РАЗРАБОТКИ МЕСТОРОЖДЕНИЯ </w:t>
    </w:r>
    <w:r w:rsidR="00E8639C">
      <w:rPr>
        <w:sz w:val="14"/>
        <w:szCs w:val="14"/>
      </w:rPr>
      <w:t>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9A64" w14:textId="77777777" w:rsidR="00B41BC6" w:rsidRDefault="00B41BC6" w:rsidP="00891237">
      <w:r>
        <w:separator/>
      </w:r>
    </w:p>
  </w:footnote>
  <w:footnote w:type="continuationSeparator" w:id="0">
    <w:p w14:paraId="14802441" w14:textId="77777777" w:rsidR="00B41BC6" w:rsidRDefault="00B41BC6" w:rsidP="00891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A15B" w14:textId="5AB2EE0F" w:rsidR="00A16D42" w:rsidRPr="00A16D42" w:rsidRDefault="00A16D42" w:rsidP="00C24D7B">
    <w:pPr>
      <w:framePr w:w="406" w:h="232" w:hRule="exact" w:wrap="around" w:vAnchor="text" w:hAnchor="page" w:x="10786" w:y="-70"/>
      <w:tabs>
        <w:tab w:val="center" w:pos="4677"/>
        <w:tab w:val="right" w:pos="9355"/>
      </w:tabs>
      <w:spacing w:after="200"/>
      <w:rPr>
        <w:szCs w:val="22"/>
        <w:lang w:eastAsia="en-US"/>
      </w:rPr>
    </w:pPr>
    <w:r w:rsidRPr="00A16D42">
      <w:rPr>
        <w:szCs w:val="22"/>
        <w:lang w:eastAsia="en-US"/>
      </w:rPr>
      <w:fldChar w:fldCharType="begin"/>
    </w:r>
    <w:r w:rsidRPr="00A16D42">
      <w:rPr>
        <w:szCs w:val="22"/>
        <w:lang w:eastAsia="en-US"/>
      </w:rPr>
      <w:instrText xml:space="preserve">PAGE  </w:instrText>
    </w:r>
    <w:r w:rsidRPr="00A16D42">
      <w:rPr>
        <w:szCs w:val="22"/>
        <w:lang w:eastAsia="en-US"/>
      </w:rPr>
      <w:fldChar w:fldCharType="separate"/>
    </w:r>
    <w:r w:rsidR="00760297">
      <w:rPr>
        <w:noProof/>
        <w:szCs w:val="22"/>
        <w:lang w:eastAsia="en-US"/>
      </w:rPr>
      <w:t>188</w:t>
    </w:r>
    <w:r w:rsidRPr="00A16D42">
      <w:rPr>
        <w:szCs w:val="22"/>
        <w:lang w:eastAsia="en-US"/>
      </w:rPr>
      <w:fldChar w:fldCharType="end"/>
    </w:r>
  </w:p>
  <w:p w14:paraId="0E57CC16" w14:textId="4F8FD5A6" w:rsidR="00891237" w:rsidRPr="00891237" w:rsidRDefault="00891237" w:rsidP="00891237">
    <w:pPr>
      <w:pStyle w:val="a5"/>
      <w:pBdr>
        <w:bottom w:val="single" w:sz="4" w:space="1" w:color="auto"/>
      </w:pBdr>
      <w:ind w:right="340"/>
      <w:rPr>
        <w:sz w:val="14"/>
        <w:szCs w:val="14"/>
      </w:rPr>
    </w:pPr>
    <w:r w:rsidRPr="00712C27">
      <w:rPr>
        <w:sz w:val="14"/>
        <w:szCs w:val="14"/>
      </w:rPr>
      <w:t>ПОДГОТОВКА ГЕОЛОГО-ПРОМЫСЛОВОЙ И ТЕХНИКО -ЭКОНОМИЧЕСКОЙ ОСНОВЫ ДЛЯ ПРОЕКТИРОВАНИЯ РАЗРАБОТКИ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978"/>
    <w:rsid w:val="000069FA"/>
    <w:rsid w:val="00035775"/>
    <w:rsid w:val="00054B9C"/>
    <w:rsid w:val="00090F61"/>
    <w:rsid w:val="00097235"/>
    <w:rsid w:val="000B35AE"/>
    <w:rsid w:val="000F59EC"/>
    <w:rsid w:val="00110100"/>
    <w:rsid w:val="001105C2"/>
    <w:rsid w:val="00167B4C"/>
    <w:rsid w:val="00207976"/>
    <w:rsid w:val="00213978"/>
    <w:rsid w:val="00237185"/>
    <w:rsid w:val="00287AF3"/>
    <w:rsid w:val="00306FF0"/>
    <w:rsid w:val="003272D7"/>
    <w:rsid w:val="00360F2C"/>
    <w:rsid w:val="00363562"/>
    <w:rsid w:val="003901EE"/>
    <w:rsid w:val="003A28F7"/>
    <w:rsid w:val="00407FB3"/>
    <w:rsid w:val="004B28B2"/>
    <w:rsid w:val="004E14CD"/>
    <w:rsid w:val="004F52A9"/>
    <w:rsid w:val="004F52AE"/>
    <w:rsid w:val="00512EFA"/>
    <w:rsid w:val="00534DC8"/>
    <w:rsid w:val="0056439E"/>
    <w:rsid w:val="005713FF"/>
    <w:rsid w:val="005B4F18"/>
    <w:rsid w:val="005C4302"/>
    <w:rsid w:val="00611559"/>
    <w:rsid w:val="00635D8D"/>
    <w:rsid w:val="00647D3C"/>
    <w:rsid w:val="00651AE0"/>
    <w:rsid w:val="0068456A"/>
    <w:rsid w:val="006874F6"/>
    <w:rsid w:val="006A135A"/>
    <w:rsid w:val="00743AC5"/>
    <w:rsid w:val="00760297"/>
    <w:rsid w:val="007721EA"/>
    <w:rsid w:val="007B640A"/>
    <w:rsid w:val="007C31EE"/>
    <w:rsid w:val="00800C4D"/>
    <w:rsid w:val="008163CC"/>
    <w:rsid w:val="0086095F"/>
    <w:rsid w:val="00891237"/>
    <w:rsid w:val="008D35D3"/>
    <w:rsid w:val="00910229"/>
    <w:rsid w:val="00924EDD"/>
    <w:rsid w:val="00A0003C"/>
    <w:rsid w:val="00A16D42"/>
    <w:rsid w:val="00B05DE4"/>
    <w:rsid w:val="00B102EB"/>
    <w:rsid w:val="00B37831"/>
    <w:rsid w:val="00B41BC6"/>
    <w:rsid w:val="00B51C1A"/>
    <w:rsid w:val="00B83C6D"/>
    <w:rsid w:val="00BA11DC"/>
    <w:rsid w:val="00BE3549"/>
    <w:rsid w:val="00BE4EE5"/>
    <w:rsid w:val="00BF56F3"/>
    <w:rsid w:val="00C161E9"/>
    <w:rsid w:val="00C24D7B"/>
    <w:rsid w:val="00C969B7"/>
    <w:rsid w:val="00CA1B8C"/>
    <w:rsid w:val="00D3292A"/>
    <w:rsid w:val="00DE419F"/>
    <w:rsid w:val="00E26E28"/>
    <w:rsid w:val="00E41617"/>
    <w:rsid w:val="00E8639C"/>
    <w:rsid w:val="00E9434C"/>
    <w:rsid w:val="00E96122"/>
    <w:rsid w:val="00EC6060"/>
    <w:rsid w:val="00F0504A"/>
    <w:rsid w:val="00F21A56"/>
    <w:rsid w:val="00FB0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138F727"/>
  <w15:chartTrackingRefBased/>
  <w15:docId w15:val="{006D66BE-C5C7-4AD3-AA1B-23635D2E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23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текст"/>
    <w:basedOn w:val="a"/>
    <w:rsid w:val="00891237"/>
    <w:pPr>
      <w:spacing w:line="360" w:lineRule="auto"/>
      <w:ind w:firstLine="737"/>
      <w:jc w:val="both"/>
    </w:pPr>
    <w:rPr>
      <w:sz w:val="24"/>
      <w:szCs w:val="24"/>
    </w:rPr>
  </w:style>
  <w:style w:type="paragraph" w:customStyle="1" w:styleId="a4">
    <w:name w:val="Подпункт"/>
    <w:basedOn w:val="a"/>
    <w:next w:val="a"/>
    <w:rsid w:val="00891237"/>
    <w:pPr>
      <w:spacing w:before="240" w:line="360" w:lineRule="auto"/>
      <w:ind w:firstLine="737"/>
      <w:jc w:val="both"/>
    </w:pPr>
    <w:rPr>
      <w:b/>
      <w:bCs/>
      <w:i/>
      <w:iCs/>
      <w:color w:val="000000"/>
      <w:sz w:val="24"/>
    </w:rPr>
  </w:style>
  <w:style w:type="paragraph" w:customStyle="1" w:styleId="TCpodrazdel">
    <w:name w:val="TC_podrazdel"/>
    <w:basedOn w:val="a"/>
    <w:autoRedefine/>
    <w:qFormat/>
    <w:rsid w:val="00891237"/>
    <w:pPr>
      <w:widowControl w:val="0"/>
      <w:spacing w:after="240"/>
      <w:jc w:val="both"/>
    </w:pPr>
    <w:rPr>
      <w:b/>
      <w:i/>
      <w:sz w:val="24"/>
      <w:szCs w:val="24"/>
    </w:rPr>
  </w:style>
  <w:style w:type="paragraph" w:styleId="a5">
    <w:name w:val="header"/>
    <w:aliases w:val="Title Up"/>
    <w:basedOn w:val="a"/>
    <w:link w:val="a6"/>
    <w:uiPriority w:val="99"/>
    <w:unhideWhenUsed/>
    <w:rsid w:val="00891237"/>
    <w:pPr>
      <w:tabs>
        <w:tab w:val="center" w:pos="4677"/>
        <w:tab w:val="right" w:pos="9355"/>
      </w:tabs>
    </w:pPr>
  </w:style>
  <w:style w:type="character" w:customStyle="1" w:styleId="a6">
    <w:name w:val="Верхний колонтитул Знак"/>
    <w:aliases w:val="Title Up Знак"/>
    <w:basedOn w:val="a0"/>
    <w:link w:val="a5"/>
    <w:uiPriority w:val="99"/>
    <w:rsid w:val="0089123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891237"/>
    <w:pPr>
      <w:tabs>
        <w:tab w:val="center" w:pos="4677"/>
        <w:tab w:val="right" w:pos="9355"/>
      </w:tabs>
    </w:pPr>
  </w:style>
  <w:style w:type="character" w:customStyle="1" w:styleId="a8">
    <w:name w:val="Нижний колонтитул Знак"/>
    <w:basedOn w:val="a0"/>
    <w:link w:val="a7"/>
    <w:uiPriority w:val="99"/>
    <w:rsid w:val="00891237"/>
    <w:rPr>
      <w:rFonts w:ascii="Times New Roman" w:eastAsia="Times New Roman" w:hAnsi="Times New Roman" w:cs="Times New Roman"/>
      <w:sz w:val="20"/>
      <w:szCs w:val="20"/>
      <w:lang w:eastAsia="ru-RU"/>
    </w:rPr>
  </w:style>
  <w:style w:type="character" w:styleId="a9">
    <w:name w:val="annotation reference"/>
    <w:basedOn w:val="a0"/>
    <w:uiPriority w:val="99"/>
    <w:semiHidden/>
    <w:unhideWhenUsed/>
    <w:rsid w:val="0056439E"/>
    <w:rPr>
      <w:sz w:val="16"/>
      <w:szCs w:val="16"/>
    </w:rPr>
  </w:style>
  <w:style w:type="paragraph" w:styleId="aa">
    <w:name w:val="annotation text"/>
    <w:basedOn w:val="a"/>
    <w:link w:val="ab"/>
    <w:uiPriority w:val="99"/>
    <w:semiHidden/>
    <w:unhideWhenUsed/>
    <w:rsid w:val="0056439E"/>
  </w:style>
  <w:style w:type="character" w:customStyle="1" w:styleId="ab">
    <w:name w:val="Текст примечания Знак"/>
    <w:basedOn w:val="a0"/>
    <w:link w:val="aa"/>
    <w:uiPriority w:val="99"/>
    <w:semiHidden/>
    <w:rsid w:val="0056439E"/>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56439E"/>
    <w:rPr>
      <w:b/>
      <w:bCs/>
    </w:rPr>
  </w:style>
  <w:style w:type="character" w:customStyle="1" w:styleId="ad">
    <w:name w:val="Тема примечания Знак"/>
    <w:basedOn w:val="ab"/>
    <w:link w:val="ac"/>
    <w:uiPriority w:val="99"/>
    <w:semiHidden/>
    <w:rsid w:val="0056439E"/>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56439E"/>
    <w:rPr>
      <w:rFonts w:ascii="Segoe UI" w:hAnsi="Segoe UI" w:cs="Segoe UI"/>
      <w:sz w:val="18"/>
      <w:szCs w:val="18"/>
    </w:rPr>
  </w:style>
  <w:style w:type="character" w:customStyle="1" w:styleId="af">
    <w:name w:val="Текст выноски Знак"/>
    <w:basedOn w:val="a0"/>
    <w:link w:val="ae"/>
    <w:uiPriority w:val="99"/>
    <w:semiHidden/>
    <w:rsid w:val="0056439E"/>
    <w:rPr>
      <w:rFonts w:ascii="Segoe UI" w:eastAsia="Times New Roman" w:hAnsi="Segoe UI" w:cs="Segoe UI"/>
      <w:sz w:val="18"/>
      <w:szCs w:val="18"/>
      <w:lang w:eastAsia="ru-RU"/>
    </w:rPr>
  </w:style>
  <w:style w:type="character" w:styleId="af0">
    <w:name w:val="page number"/>
    <w:rsid w:val="0023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95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wmf"/><Relationship Id="rId10" Type="http://schemas.openxmlformats.org/officeDocument/2006/relationships/image" Target="media/image4.w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theme" Target="theme/theme1.xml"/><Relationship Id="rId8"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155EA-4E8B-47D3-9ADF-56144725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4815</TotalTime>
  <Pages>6</Pages>
  <Words>1473</Words>
  <Characters>8401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Омирбекова</dc:creator>
  <cp:keywords/>
  <dc:description/>
  <cp:lastModifiedBy>Чинтасова Гүлсая Мақсотқызы</cp:lastModifiedBy>
  <cp:revision>52</cp:revision>
  <dcterms:created xsi:type="dcterms:W3CDTF">2019-05-13T14:22:00Z</dcterms:created>
  <dcterms:modified xsi:type="dcterms:W3CDTF">2024-11-01T06:33:00Z</dcterms:modified>
</cp:coreProperties>
</file>